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51F70" w14:textId="049CA009" w:rsidR="00743836" w:rsidRDefault="00743836" w:rsidP="008E2F0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INFORMAÇÕES CONTÁBEIS</w:t>
      </w:r>
    </w:p>
    <w:p w14:paraId="24E93B49" w14:textId="77777777" w:rsidR="00743836" w:rsidRDefault="00743836" w:rsidP="008E2F0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07260F5" w14:textId="44771877" w:rsidR="00743836" w:rsidRPr="00743836" w:rsidRDefault="00743836" w:rsidP="00743836">
      <w:pPr>
        <w:pStyle w:val="Pa3"/>
        <w:spacing w:before="100"/>
        <w:jc w:val="both"/>
        <w:rPr>
          <w:rFonts w:cs="Liberation Sans"/>
        </w:rPr>
      </w:pPr>
      <w:r w:rsidRPr="00743836">
        <w:rPr>
          <w:rFonts w:cs="Liberation Sans"/>
        </w:rPr>
        <w:t xml:space="preserve">Para garantir a confiabilidade e a conformidade dos atos e dos fatos orçamentários, financeiros e contábeis praticados, a UFPB adota todas as medidas previstas nos manuais, nas normas e nas orientações da setorial contábil do MEC, bem como do órgão central (STN). </w:t>
      </w:r>
    </w:p>
    <w:p w14:paraId="7EFE6DEB" w14:textId="77777777" w:rsidR="00743836" w:rsidRPr="00743836" w:rsidRDefault="00743836" w:rsidP="00743836">
      <w:pPr>
        <w:pStyle w:val="Pa3"/>
        <w:spacing w:before="100"/>
        <w:jc w:val="both"/>
        <w:rPr>
          <w:rFonts w:cs="Liberation Sans"/>
        </w:rPr>
      </w:pPr>
      <w:r w:rsidRPr="00743836">
        <w:rPr>
          <w:rFonts w:cs="Liberation Sans"/>
        </w:rPr>
        <w:t xml:space="preserve">Diariamente, é realizada a conformidade de gestão no Sistema Integrado de Administração Financeira do Governo Federal (SIAFI). A conformidade dos registros de gestão consiste na certificação dos registros dos atos e dos fatos de execução orçamentária, financeira e patrimonial incluídos no SIAFI e da existência de documentos hábeis que comprovem as operações. </w:t>
      </w:r>
    </w:p>
    <w:p w14:paraId="01587CD0" w14:textId="77777777" w:rsidR="00743836" w:rsidRPr="00743836" w:rsidRDefault="00743836" w:rsidP="00743836">
      <w:pPr>
        <w:pStyle w:val="Pa3"/>
        <w:spacing w:before="100"/>
        <w:jc w:val="both"/>
        <w:rPr>
          <w:rFonts w:cs="Liberation Sans"/>
        </w:rPr>
      </w:pPr>
      <w:r w:rsidRPr="00743836">
        <w:rPr>
          <w:rFonts w:cs="Liberation Sans"/>
        </w:rPr>
        <w:t xml:space="preserve">Mensalmente, também é realizada a conformidade contábil. Essa conformidade consiste na certificação de que as demonstrações contábeis geradas pelo SIAFI estão de acordo com a </w:t>
      </w:r>
      <w:r w:rsidRPr="00743836">
        <w:rPr>
          <w:rFonts w:ascii="Roboto Lt" w:hAnsi="Roboto Lt" w:cs="Roboto Lt"/>
        </w:rPr>
        <w:t>Lei nº 4.320/1964</w:t>
      </w:r>
      <w:r w:rsidRPr="00743836">
        <w:rPr>
          <w:rFonts w:cs="Liberation Sans"/>
        </w:rPr>
        <w:t xml:space="preserve">, com o </w:t>
      </w:r>
      <w:r w:rsidRPr="00743836">
        <w:rPr>
          <w:rFonts w:ascii="Roboto Lt" w:hAnsi="Roboto Lt" w:cs="Roboto Lt"/>
        </w:rPr>
        <w:t xml:space="preserve">Manual de Contabilidade Aplicada ao Setor Público (MCASP) </w:t>
      </w:r>
      <w:r w:rsidRPr="00743836">
        <w:rPr>
          <w:rFonts w:cs="Liberation Sans"/>
        </w:rPr>
        <w:t xml:space="preserve">e com os Manuais SIAFI. </w:t>
      </w:r>
    </w:p>
    <w:p w14:paraId="1908FB81" w14:textId="77777777" w:rsidR="00743836" w:rsidRDefault="00743836" w:rsidP="008E2F0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EF530F5" w14:textId="6D8FE1F2" w:rsidR="004F64B1" w:rsidRPr="000B7EFF" w:rsidRDefault="00743836" w:rsidP="004F64B1">
      <w:pPr>
        <w:pStyle w:val="Pa4"/>
        <w:jc w:val="both"/>
        <w:rPr>
          <w:rFonts w:ascii="Arial" w:hAnsi="Arial" w:cs="Arial"/>
        </w:rPr>
      </w:pPr>
      <w:r w:rsidRPr="000B7EFF">
        <w:rPr>
          <w:rFonts w:ascii="Arial" w:hAnsi="Arial" w:cs="Arial"/>
        </w:rPr>
        <w:t>Trimestralmente, é elaborado e publicado o Relatório Contábil, que cont</w:t>
      </w:r>
      <w:r w:rsidR="004F64B1" w:rsidRPr="000B7EFF">
        <w:rPr>
          <w:rFonts w:ascii="Arial" w:hAnsi="Arial" w:cs="Arial"/>
        </w:rPr>
        <w:t>ém</w:t>
      </w:r>
      <w:r w:rsidRPr="000B7EFF">
        <w:rPr>
          <w:rFonts w:ascii="Arial" w:hAnsi="Arial" w:cs="Arial"/>
        </w:rPr>
        <w:t xml:space="preserve"> as</w:t>
      </w:r>
      <w:r w:rsidR="00F25AD9" w:rsidRPr="000B7EFF">
        <w:rPr>
          <w:rFonts w:ascii="Arial" w:hAnsi="Arial" w:cs="Arial"/>
        </w:rPr>
        <w:t xml:space="preserve"> Demonstrações Contábeis</w:t>
      </w:r>
      <w:r w:rsidR="004F64B1" w:rsidRPr="000B7EFF">
        <w:rPr>
          <w:rFonts w:ascii="Arial" w:hAnsi="Arial" w:cs="Arial"/>
        </w:rPr>
        <w:t xml:space="preserve"> (e suas Notas Explicativas), </w:t>
      </w:r>
      <w:r w:rsidRPr="000B7EFF">
        <w:rPr>
          <w:rFonts w:ascii="Arial" w:hAnsi="Arial" w:cs="Arial"/>
        </w:rPr>
        <w:t>e</w:t>
      </w:r>
      <w:r w:rsidR="00F25AD9" w:rsidRPr="000B7EFF">
        <w:rPr>
          <w:rFonts w:ascii="Arial" w:hAnsi="Arial" w:cs="Arial"/>
        </w:rPr>
        <w:t>xtraídas do Sistema Integrado de Administração Financeira do Governo Federal – SIAFI</w:t>
      </w:r>
      <w:r w:rsidRPr="000B7EFF">
        <w:rPr>
          <w:rFonts w:ascii="Arial" w:hAnsi="Arial" w:cs="Arial"/>
        </w:rPr>
        <w:t xml:space="preserve"> e elaboradas</w:t>
      </w:r>
      <w:r w:rsidR="004F64B1" w:rsidRPr="000B7EFF">
        <w:rPr>
          <w:rFonts w:ascii="Arial" w:hAnsi="Arial" w:cs="Arial"/>
        </w:rPr>
        <w:t xml:space="preserve"> de acordo com as normas contábeis vigentes no Brasil, tais como: Lei nº 4.320/1964; Lei Complementar nº 101/2000 (LRF); Normas Brasileiras de Contabilidade Técnicas do Setor Público (NBC TSP); Manual de Contabilidade Aplicada ao Setor Público (MCASP), entre outras. </w:t>
      </w:r>
    </w:p>
    <w:p w14:paraId="57EE5717" w14:textId="77777777" w:rsidR="004F64B1" w:rsidRPr="000B7EFF" w:rsidRDefault="004F64B1" w:rsidP="004F64B1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10756143" w14:textId="02B520E5" w:rsidR="00F25AD9" w:rsidRPr="000B7EFF" w:rsidRDefault="004F64B1" w:rsidP="004F64B1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0B7EFF">
        <w:rPr>
          <w:rFonts w:ascii="Arial" w:hAnsi="Arial" w:cs="Arial"/>
          <w:sz w:val="24"/>
          <w:szCs w:val="24"/>
        </w:rPr>
        <w:t>A seguir, apresentamos, de forma resumida, as demonstrações contábeis e os principais fatos contábeis, as principais contas ou grupos de contas, os saldos, as variações e as ocorrências do exercício de 202</w:t>
      </w:r>
      <w:r w:rsidR="00EC7DC8" w:rsidRPr="000B7EFF">
        <w:rPr>
          <w:rFonts w:ascii="Arial" w:hAnsi="Arial" w:cs="Arial"/>
          <w:sz w:val="24"/>
          <w:szCs w:val="24"/>
        </w:rPr>
        <w:t>2 em relação ao ano anterior</w:t>
      </w:r>
      <w:r w:rsidRPr="000B7EFF">
        <w:rPr>
          <w:rFonts w:ascii="Arial" w:hAnsi="Arial" w:cs="Arial"/>
          <w:sz w:val="24"/>
          <w:szCs w:val="24"/>
        </w:rPr>
        <w:t>.</w:t>
      </w:r>
    </w:p>
    <w:p w14:paraId="4DCB3FD2" w14:textId="77777777" w:rsidR="00D05811" w:rsidRPr="000B7EFF" w:rsidRDefault="00D05811" w:rsidP="00F25AD9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470F0C6A" w14:textId="77777777" w:rsidR="00F25AD9" w:rsidRPr="001F3DC8" w:rsidRDefault="00F25AD9" w:rsidP="00F25AD9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3898C0E3" w14:textId="7497EE24" w:rsidR="00F25AD9" w:rsidRPr="007D237C" w:rsidRDefault="00EC7DC8" w:rsidP="00F25AD9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  <w:r w:rsidRPr="007D237C">
        <w:rPr>
          <w:rFonts w:ascii="Arial" w:hAnsi="Arial" w:cs="Arial"/>
          <w:b/>
          <w:bCs/>
          <w:sz w:val="24"/>
          <w:szCs w:val="24"/>
        </w:rPr>
        <w:t>Balanço Patrimonial (BP)</w:t>
      </w:r>
    </w:p>
    <w:p w14:paraId="2077BBE0" w14:textId="77777777" w:rsidR="000B7EFF" w:rsidRPr="000B7EFF" w:rsidRDefault="000B7EFF" w:rsidP="00F25AD9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417B3FFD" w14:textId="3D6CBB9E" w:rsidR="000B7EFF" w:rsidRDefault="000B7EFF" w:rsidP="00F25AD9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0B7EFF">
        <w:rPr>
          <w:rFonts w:ascii="Arial" w:hAnsi="Arial" w:cs="Arial"/>
          <w:sz w:val="24"/>
          <w:szCs w:val="24"/>
        </w:rPr>
        <w:t>O Balanço Patrimonial é definido pelo Manual de Contabilidade Aplicada ao Setor Público (MCASP)</w:t>
      </w:r>
      <w:r>
        <w:rPr>
          <w:rFonts w:ascii="Arial" w:hAnsi="Arial" w:cs="Arial"/>
          <w:sz w:val="24"/>
          <w:szCs w:val="24"/>
        </w:rPr>
        <w:t xml:space="preserve"> </w:t>
      </w:r>
      <w:r w:rsidRPr="000B7EFF">
        <w:rPr>
          <w:rFonts w:ascii="Arial" w:hAnsi="Arial" w:cs="Arial"/>
          <w:sz w:val="24"/>
          <w:szCs w:val="24"/>
        </w:rPr>
        <w:t>como sendo a demonstração contábil que evidencia, qualitativa e quantitativamente, a situação patrimonial da entidade pública, por meio de contas representativas do patrimônio público, bem como os atos potenciais, que são registrados em contas de compensação (natureza de informação de controle).</w:t>
      </w:r>
      <w:r w:rsidR="00836752">
        <w:rPr>
          <w:rFonts w:ascii="Arial" w:hAnsi="Arial" w:cs="Arial"/>
          <w:sz w:val="24"/>
          <w:szCs w:val="24"/>
        </w:rPr>
        <w:t xml:space="preserve"> Está dividido em Ativo, Passivo e Patrimônio Líquido.</w:t>
      </w:r>
    </w:p>
    <w:p w14:paraId="5C408ED5" w14:textId="77777777" w:rsidR="00863DE0" w:rsidRDefault="00863DE0" w:rsidP="00F25AD9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1D39BCF2" w14:textId="359BFF8D" w:rsidR="00836752" w:rsidRPr="00787F71" w:rsidRDefault="00863DE0" w:rsidP="00F25AD9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787F71">
        <w:rPr>
          <w:rFonts w:ascii="Arial" w:hAnsi="Arial" w:cs="Arial"/>
          <w:sz w:val="24"/>
          <w:szCs w:val="24"/>
        </w:rPr>
        <w:t xml:space="preserve">O </w:t>
      </w:r>
      <w:r w:rsidR="00787F71" w:rsidRPr="00787F71">
        <w:rPr>
          <w:rFonts w:ascii="Arial" w:hAnsi="Arial" w:cs="Arial"/>
          <w:sz w:val="24"/>
          <w:szCs w:val="24"/>
        </w:rPr>
        <w:t>A</w:t>
      </w:r>
      <w:r w:rsidRPr="00787F71">
        <w:rPr>
          <w:rFonts w:ascii="Arial" w:hAnsi="Arial" w:cs="Arial"/>
          <w:sz w:val="24"/>
          <w:szCs w:val="24"/>
        </w:rPr>
        <w:t>tivo representa os bens e os direitos da Instituição</w:t>
      </w:r>
      <w:r w:rsidR="00836752" w:rsidRPr="00787F71">
        <w:rPr>
          <w:rFonts w:ascii="Arial" w:hAnsi="Arial" w:cs="Arial"/>
          <w:sz w:val="24"/>
          <w:szCs w:val="24"/>
        </w:rPr>
        <w:t xml:space="preserve"> e </w:t>
      </w:r>
      <w:r w:rsidRPr="00787F71">
        <w:rPr>
          <w:rFonts w:ascii="Arial" w:hAnsi="Arial" w:cs="Arial"/>
          <w:sz w:val="24"/>
          <w:szCs w:val="24"/>
        </w:rPr>
        <w:t xml:space="preserve">se divide em Circulante e Não Circulante. O Ativo Circulante compreende basicamente os ativos que sejam caixas ou equivalentes de caixa, sejam realizáveis ou mantidos para venda ou consumo dentro do ciclo operacional da entidade ou sejam realizáveis a curto prazo. Já no </w:t>
      </w:r>
      <w:r w:rsidR="00836752" w:rsidRPr="00787F71">
        <w:rPr>
          <w:rFonts w:ascii="Arial" w:hAnsi="Arial" w:cs="Arial"/>
          <w:sz w:val="24"/>
          <w:szCs w:val="24"/>
        </w:rPr>
        <w:t>Ativo Não C</w:t>
      </w:r>
      <w:r w:rsidRPr="00787F71">
        <w:rPr>
          <w:rFonts w:ascii="Arial" w:hAnsi="Arial" w:cs="Arial"/>
          <w:sz w:val="24"/>
          <w:szCs w:val="24"/>
        </w:rPr>
        <w:t xml:space="preserve">irculante, teremos todos os ativos realizáveis a longo prazo, além dos investimentos, imobilizado e intangível. </w:t>
      </w:r>
    </w:p>
    <w:p w14:paraId="1A8CF884" w14:textId="77777777" w:rsidR="00836752" w:rsidRPr="00787F71" w:rsidRDefault="00836752" w:rsidP="00F25AD9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443454D2" w14:textId="010085A9" w:rsidR="00143B3A" w:rsidRDefault="00143B3A" w:rsidP="00F25AD9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 abaixo um resumo do Balanço Patrimonial, comparando 2022 e 2021 e alguns gráficos de sua composição em 2022</w:t>
      </w:r>
    </w:p>
    <w:p w14:paraId="0239E62C" w14:textId="77777777" w:rsidR="00143B3A" w:rsidRDefault="00143B3A" w:rsidP="00F25AD9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685C5065" w14:textId="77777777" w:rsidR="00143B3A" w:rsidRDefault="00143B3A" w:rsidP="00F25AD9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0A34A44E" w14:textId="77777777" w:rsidR="00787F71" w:rsidRDefault="00787F71" w:rsidP="00F25AD9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13FA5AA4" w14:textId="77777777" w:rsidR="00143B3A" w:rsidRPr="00143B3A" w:rsidRDefault="00143B3A" w:rsidP="00143B3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43B3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Balanço Patrimonial (resumido)</w:t>
      </w:r>
    </w:p>
    <w:p w14:paraId="531B040E" w14:textId="77777777" w:rsidR="00863DE0" w:rsidRDefault="00863DE0" w:rsidP="00F25AD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1AB6063A" w14:textId="77777777" w:rsidR="00863DE0" w:rsidRDefault="00863DE0" w:rsidP="00F25AD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76EF15CF" w14:textId="77777777" w:rsidR="00863DE0" w:rsidRDefault="00863DE0" w:rsidP="00F25AD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10F9BBCA" w14:textId="77777777" w:rsidR="00863DE0" w:rsidRDefault="00863DE0" w:rsidP="00F25AD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116C63BA" w14:textId="77777777" w:rsidR="00863DE0" w:rsidRDefault="00863DE0" w:rsidP="00F25AD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2443D248" w14:textId="77777777" w:rsidR="00CC27B7" w:rsidRPr="00836752" w:rsidRDefault="00CC27B7" w:rsidP="00CC27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36752">
        <w:rPr>
          <w:rFonts w:ascii="Arial" w:eastAsia="Times New Roman" w:hAnsi="Arial" w:cs="Arial"/>
          <w:sz w:val="24"/>
          <w:szCs w:val="24"/>
          <w:lang w:eastAsia="pt-BR"/>
        </w:rPr>
        <w:t xml:space="preserve">Fonte: </w:t>
      </w:r>
      <w:proofErr w:type="spellStart"/>
      <w:r w:rsidRPr="00836752">
        <w:rPr>
          <w:rFonts w:ascii="Arial" w:eastAsia="Times New Roman" w:hAnsi="Arial" w:cs="Arial"/>
          <w:sz w:val="24"/>
          <w:szCs w:val="24"/>
          <w:lang w:eastAsia="pt-BR"/>
        </w:rPr>
        <w:t>SiafiWeb</w:t>
      </w:r>
      <w:proofErr w:type="spellEnd"/>
    </w:p>
    <w:p w14:paraId="58972288" w14:textId="77777777" w:rsidR="00863DE0" w:rsidRDefault="00863DE0" w:rsidP="00F25AD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711B14CC" w14:textId="77777777" w:rsidR="00863DE0" w:rsidRDefault="00863DE0" w:rsidP="00F25AD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28355D1B" w14:textId="77777777" w:rsidR="00863DE0" w:rsidRDefault="00863DE0" w:rsidP="00F25AD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4B23DB81" w14:textId="77777777" w:rsidR="00863DE0" w:rsidRDefault="00863DE0" w:rsidP="00F25AD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48A606D5" w14:textId="77777777" w:rsidR="00863DE0" w:rsidRDefault="00863DE0" w:rsidP="00F25AD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35FDC16A" w14:textId="77777777" w:rsidR="00863DE0" w:rsidRDefault="00863DE0" w:rsidP="00F25AD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67DEEA57" w14:textId="77777777" w:rsidR="00863DE0" w:rsidRDefault="00863DE0" w:rsidP="00F25AD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023B7560" w14:textId="77777777" w:rsidR="00863DE0" w:rsidRDefault="00863DE0" w:rsidP="00F25AD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3B5795B3" w14:textId="77777777" w:rsidR="00863DE0" w:rsidRDefault="00863DE0" w:rsidP="00F25AD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tbl>
      <w:tblPr>
        <w:tblpPr w:leftFromText="141" w:rightFromText="141" w:vertAnchor="page" w:horzAnchor="margin" w:tblpXSpec="center" w:tblpY="3275"/>
        <w:tblW w:w="99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9"/>
        <w:gridCol w:w="1919"/>
        <w:gridCol w:w="1919"/>
      </w:tblGrid>
      <w:tr w:rsidR="00143B3A" w:rsidRPr="00C92D8D" w14:paraId="4C0590AB" w14:textId="77777777" w:rsidTr="00143B3A">
        <w:trPr>
          <w:trHeight w:val="168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BC750BE" w14:textId="77777777" w:rsidR="00863DE0" w:rsidRPr="00863DE0" w:rsidRDefault="00863DE0" w:rsidP="00143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ATIVO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87177EC" w14:textId="77777777" w:rsidR="00863DE0" w:rsidRPr="00863DE0" w:rsidRDefault="00863DE0" w:rsidP="00143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412459F" w14:textId="77777777" w:rsidR="00863DE0" w:rsidRPr="00863DE0" w:rsidRDefault="00863DE0" w:rsidP="00143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2021</w:t>
            </w:r>
          </w:p>
        </w:tc>
      </w:tr>
      <w:tr w:rsidR="00143B3A" w:rsidRPr="00C92D8D" w14:paraId="31D12B4E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BDAE6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ATIVO CIRCULANTE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956CF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200.212.413,15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43850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199.988.334,63 </w:t>
            </w:r>
          </w:p>
        </w:tc>
      </w:tr>
      <w:tr w:rsidR="00143B3A" w:rsidRPr="00C92D8D" w14:paraId="30322894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72BCC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 e Equivalentes de Caixa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8107E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157.367.733,08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D9462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152.202.503,76 </w:t>
            </w:r>
          </w:p>
        </w:tc>
      </w:tr>
      <w:tr w:rsidR="00143B3A" w:rsidRPr="00C92D8D" w14:paraId="78101567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B795B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Créditos a Curto Prazo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B4564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41.598.385,58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1E30B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46.397.003,41 </w:t>
            </w:r>
          </w:p>
        </w:tc>
      </w:tr>
      <w:tr w:rsidR="00143B3A" w:rsidRPr="00C92D8D" w14:paraId="5450FFE4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20CA7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Estoques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C1C6F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1.020.835,21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BD040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1.059.388,18 </w:t>
            </w:r>
          </w:p>
        </w:tc>
      </w:tr>
      <w:tr w:rsidR="00143B3A" w:rsidRPr="00C92D8D" w14:paraId="7A38FD91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5A319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VPDs</w:t>
            </w:r>
            <w:proofErr w:type="spellEnd"/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Pagas Antecipadamente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EC4AF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225.459,28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C35CF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329.439,28 </w:t>
            </w:r>
          </w:p>
        </w:tc>
      </w:tr>
      <w:tr w:rsidR="00143B3A" w:rsidRPr="00C92D8D" w14:paraId="4EA832DA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4ACCB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ATIVO NÃO CIRCULANTE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5D12B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703.627.292,90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64E57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686.388.299,09 </w:t>
            </w:r>
          </w:p>
        </w:tc>
      </w:tr>
      <w:tr w:rsidR="00143B3A" w:rsidRPr="00C92D8D" w14:paraId="56BE0A4C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3A778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Realizável a Longo Prazo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C6B00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13.520.741,24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1D8FB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20.481.090,35 </w:t>
            </w:r>
          </w:p>
        </w:tc>
      </w:tr>
      <w:tr w:rsidR="00143B3A" w:rsidRPr="00C92D8D" w14:paraId="3D0216E9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DDBC7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Investimentos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536C9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            0,06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3A086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            0,06 </w:t>
            </w:r>
          </w:p>
        </w:tc>
      </w:tr>
      <w:tr w:rsidR="00143B3A" w:rsidRPr="00C92D8D" w14:paraId="3457E59C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5C782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Imobilizado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3780D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689.659.985,33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182E8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665.460.642,41 </w:t>
            </w:r>
          </w:p>
        </w:tc>
      </w:tr>
      <w:tr w:rsidR="00143B3A" w:rsidRPr="00C92D8D" w14:paraId="5877A76D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057A8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Intangível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F9489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446.566,27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210B4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446.566,27 </w:t>
            </w:r>
          </w:p>
        </w:tc>
      </w:tr>
      <w:tr w:rsidR="00143B3A" w:rsidRPr="00C92D8D" w14:paraId="7CBC7707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15ED8DE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 DO ATIVO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EB26F14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903.839.706,05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E5C0F1D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886.376.633,72 </w:t>
            </w:r>
          </w:p>
        </w:tc>
      </w:tr>
      <w:tr w:rsidR="00143B3A" w:rsidRPr="00C92D8D" w14:paraId="6C6BD14B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F4588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B6FE9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12100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43B3A" w:rsidRPr="00C92D8D" w14:paraId="0BB3D3CB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F491158" w14:textId="77777777" w:rsidR="00863DE0" w:rsidRPr="00863DE0" w:rsidRDefault="00863DE0" w:rsidP="00143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PASSIVO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12B5AC6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74636DE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2021</w:t>
            </w:r>
          </w:p>
        </w:tc>
      </w:tr>
      <w:tr w:rsidR="00143B3A" w:rsidRPr="00C92D8D" w14:paraId="126D1F82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0D0DD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PASSIVO CIRCULANTE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97804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287.452.933,51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E011A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301.501.867,25 </w:t>
            </w:r>
          </w:p>
        </w:tc>
      </w:tr>
      <w:tr w:rsidR="00143B3A" w:rsidRPr="00C92D8D" w14:paraId="346DF22A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E88A0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Obrigações Trab., Prev. e Assist. a Pagar a Curto Prazo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C707D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156.098.533,76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449BF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171.458.105,57 </w:t>
            </w:r>
          </w:p>
        </w:tc>
      </w:tr>
      <w:tr w:rsidR="00143B3A" w:rsidRPr="00C92D8D" w14:paraId="5882BFA4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FFD8F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Fornecedores e Contas a Pagar a Curto Prazo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F6205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3.677.997,92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01216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193.202,79 </w:t>
            </w:r>
          </w:p>
        </w:tc>
      </w:tr>
      <w:tr w:rsidR="00143B3A" w:rsidRPr="00C92D8D" w14:paraId="520EB1DB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ED4EA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Demais Obrigações a Curto Prazo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AE2C9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127.676.401,83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B0154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129.850.558,89 </w:t>
            </w:r>
          </w:p>
        </w:tc>
      </w:tr>
      <w:tr w:rsidR="00143B3A" w:rsidRPr="00C92D8D" w14:paraId="7354D291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9FD32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PASSIVO NÃO CIRCULANTE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32A74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-  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05BF6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1.606.023,85 </w:t>
            </w:r>
          </w:p>
        </w:tc>
      </w:tr>
      <w:tr w:rsidR="00143B3A" w:rsidRPr="00C92D8D" w14:paraId="715AACE4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EFB97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Obrigações Trab., Prev. e Assist. a Pagar a Longo Prazo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68D85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                 -  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B9013F6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1.606.023,85 </w:t>
            </w:r>
          </w:p>
        </w:tc>
      </w:tr>
      <w:tr w:rsidR="00143B3A" w:rsidRPr="00C92D8D" w14:paraId="69C88312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78F94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PATRIMÔNIO LÍQUIDO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BF835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616.386.772,54 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DE21F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583.268.742,62 </w:t>
            </w:r>
          </w:p>
        </w:tc>
      </w:tr>
      <w:tr w:rsidR="00143B3A" w:rsidRPr="00C92D8D" w14:paraId="363B6C71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93223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Reservas de Capital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55870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            4,92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E6D7F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            4,92 </w:t>
            </w:r>
          </w:p>
        </w:tc>
      </w:tr>
      <w:tr w:rsidR="00143B3A" w:rsidRPr="00C92D8D" w14:paraId="1BBB1537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BF395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Resultado do Exercício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C6E5F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22.261.692,77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32B25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90.905.018,10 </w:t>
            </w:r>
          </w:p>
        </w:tc>
      </w:tr>
      <w:tr w:rsidR="00143B3A" w:rsidRPr="00C92D8D" w14:paraId="4D063713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9B2AC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Resultados de Exercícios Anteriores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86C91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583.268.737,70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9C8B9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494.644.545,66 </w:t>
            </w:r>
          </w:p>
        </w:tc>
      </w:tr>
      <w:tr w:rsidR="00143B3A" w:rsidRPr="00C92D8D" w14:paraId="2C5FD7F1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BB3E4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Ajustes de Exercícios Anteriores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0D917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10.856.337,15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52817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-     2.280.826,06 </w:t>
            </w:r>
          </w:p>
        </w:tc>
      </w:tr>
      <w:tr w:rsidR="00143B3A" w:rsidRPr="00C92D8D" w14:paraId="039D99D8" w14:textId="77777777" w:rsidTr="00143B3A">
        <w:trPr>
          <w:trHeight w:val="168"/>
        </w:trPr>
        <w:tc>
          <w:tcPr>
            <w:tcW w:w="6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3EC0D5E" w14:textId="77777777" w:rsidR="00863DE0" w:rsidRPr="00863DE0" w:rsidRDefault="00863DE0" w:rsidP="00143B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 DO PASSIVO E PATRIMÔNIO LÍQUIDO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1C9C0AA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903.839.706,05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3F11AC9" w14:textId="77777777" w:rsidR="00863DE0" w:rsidRPr="00863DE0" w:rsidRDefault="00863DE0" w:rsidP="00143B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63D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886.376.633,72 </w:t>
            </w:r>
          </w:p>
        </w:tc>
      </w:tr>
    </w:tbl>
    <w:p w14:paraId="3314CE4D" w14:textId="77777777" w:rsidR="00863DE0" w:rsidRPr="000B7EFF" w:rsidRDefault="00863DE0" w:rsidP="00F25AD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1FE9B4E2" w14:textId="77777777" w:rsidR="00D05811" w:rsidRPr="00F35819" w:rsidRDefault="00D05811" w:rsidP="00F25AD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635BB7EB" w14:textId="77777777" w:rsidR="00BF4BAD" w:rsidRPr="00F35819" w:rsidRDefault="00BF4BAD" w:rsidP="00F25AD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607F41AB" w14:textId="77777777" w:rsidR="00BF4BAD" w:rsidRPr="00F35819" w:rsidRDefault="00BF4BAD" w:rsidP="00F25AD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63EBEE55" w14:textId="1D6F9CF2" w:rsidR="00BF4BAD" w:rsidRPr="00F35819" w:rsidRDefault="00F843D9" w:rsidP="00F25AD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noProof/>
        </w:rPr>
        <w:lastRenderedPageBreak/>
        <w:drawing>
          <wp:inline distT="0" distB="0" distL="0" distR="0" wp14:anchorId="5DE4A81C" wp14:editId="1DE47214">
            <wp:extent cx="4572000" cy="2743200"/>
            <wp:effectExtent l="0" t="0" r="0" b="0"/>
            <wp:docPr id="68531264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9057EE8-1E20-F430-86BE-4DEACA27CF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507BC60" w14:textId="77777777" w:rsidR="00BF4BAD" w:rsidRPr="00F35819" w:rsidRDefault="00BF4BAD" w:rsidP="00F25AD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5D5AB355" w14:textId="7B9EB0E5" w:rsidR="001F3DC8" w:rsidRPr="00F35819" w:rsidRDefault="001F3DC8" w:rsidP="00F25AD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11F54C69" w14:textId="2901B285" w:rsidR="001F3DC8" w:rsidRDefault="00F843D9" w:rsidP="00F25AD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412A72AE" wp14:editId="5FF9238F">
            <wp:extent cx="4572000" cy="2743200"/>
            <wp:effectExtent l="0" t="0" r="0" b="0"/>
            <wp:docPr id="171276745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73FA6BC-FA67-86C8-184F-91E67815CF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95122EA" w14:textId="77777777" w:rsidR="009F4FA9" w:rsidRDefault="009F4FA9" w:rsidP="00F25AD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3BBD7A69" w14:textId="77777777" w:rsidR="009F4FA9" w:rsidRDefault="009F4FA9" w:rsidP="00F25AD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04B192E7" w14:textId="77777777" w:rsidR="009F4FA9" w:rsidRDefault="009F4FA9" w:rsidP="00F25AD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371AC847" w14:textId="77777777" w:rsidR="009F4FA9" w:rsidRDefault="009F4FA9" w:rsidP="00F25AD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315204DE" w14:textId="77777777" w:rsidR="009F4FA9" w:rsidRDefault="009F4FA9" w:rsidP="00F25AD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165FCF11" w14:textId="77777777" w:rsidR="009F4FA9" w:rsidRDefault="009F4FA9" w:rsidP="00F25AD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72F92C9C" w14:textId="77777777" w:rsidR="009F4FA9" w:rsidRDefault="009F4FA9" w:rsidP="00F25AD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6C7452BE" w14:textId="77777777" w:rsidR="009F4FA9" w:rsidRDefault="009F4FA9" w:rsidP="00F25AD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5240B056" w14:textId="77777777" w:rsidR="009F4FA9" w:rsidRDefault="009F4FA9" w:rsidP="00F25AD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6F81CA26" w14:textId="77777777" w:rsidR="009F4FA9" w:rsidRDefault="009F4FA9" w:rsidP="00F25AD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484570D4" w14:textId="77777777" w:rsidR="009F4FA9" w:rsidRDefault="009F4FA9" w:rsidP="00F25AD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2979B6D9" w14:textId="77777777" w:rsidR="009F4FA9" w:rsidRDefault="009F4FA9" w:rsidP="00F25AD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6A251F71" w14:textId="77777777" w:rsidR="009F4FA9" w:rsidRDefault="009F4FA9" w:rsidP="00F25AD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447BF02D" w14:textId="77777777" w:rsidR="009F4FA9" w:rsidRDefault="009F4FA9" w:rsidP="00F25AD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2F448AFB" w14:textId="77777777" w:rsidR="009F4FA9" w:rsidRDefault="009F4FA9" w:rsidP="00F25AD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260FF4BE" w14:textId="77777777" w:rsidR="009F4FA9" w:rsidRDefault="009F4FA9" w:rsidP="00F25AD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4E66AC38" w14:textId="77777777" w:rsidR="009F4FA9" w:rsidRDefault="009F4FA9" w:rsidP="00F25AD9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388770B9" w14:textId="77777777" w:rsidR="009F4FA9" w:rsidRPr="009F4FA9" w:rsidRDefault="009F4FA9" w:rsidP="009F4FA9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  <w:r w:rsidRPr="009F4FA9">
        <w:rPr>
          <w:rFonts w:ascii="Arial" w:hAnsi="Arial" w:cs="Arial"/>
          <w:b/>
          <w:bCs/>
          <w:sz w:val="24"/>
          <w:szCs w:val="24"/>
        </w:rPr>
        <w:lastRenderedPageBreak/>
        <w:t xml:space="preserve">Balanço Orçamentário (BO) </w:t>
      </w:r>
    </w:p>
    <w:p w14:paraId="49F106DD" w14:textId="77777777" w:rsidR="009F4FA9" w:rsidRPr="009F4FA9" w:rsidRDefault="009F4FA9" w:rsidP="009F4FA9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</w:p>
    <w:p w14:paraId="01619A46" w14:textId="77777777" w:rsidR="00C92D8D" w:rsidRDefault="009F4FA9" w:rsidP="009F4FA9">
      <w:pPr>
        <w:spacing w:after="0" w:line="240" w:lineRule="auto"/>
        <w:jc w:val="both"/>
        <w:rPr>
          <w:rFonts w:ascii="Arial" w:hAnsi="Arial" w:cs="Arial"/>
          <w:color w:val="56575A"/>
          <w:sz w:val="24"/>
          <w:szCs w:val="24"/>
        </w:rPr>
      </w:pPr>
      <w:r w:rsidRPr="009F4FA9">
        <w:rPr>
          <w:rFonts w:ascii="Arial" w:hAnsi="Arial" w:cs="Arial"/>
          <w:color w:val="56575A"/>
          <w:sz w:val="24"/>
          <w:szCs w:val="24"/>
        </w:rPr>
        <w:t xml:space="preserve">O Balanço Orçamentário (BO) demonstra as receitas detalhadas por categoria econômica e origem, especificando a previsão inicial, a previsão atualizada para o exercício, a receita realizada e o saldo, que corresponde ao excesso ou à insuficiência de arrecadação. </w:t>
      </w:r>
    </w:p>
    <w:p w14:paraId="6BA30BE3" w14:textId="77777777" w:rsidR="00C92D8D" w:rsidRDefault="00C92D8D" w:rsidP="009F4FA9">
      <w:pPr>
        <w:spacing w:after="0" w:line="240" w:lineRule="auto"/>
        <w:jc w:val="both"/>
        <w:rPr>
          <w:rFonts w:ascii="Arial" w:hAnsi="Arial" w:cs="Arial"/>
          <w:color w:val="56575A"/>
          <w:sz w:val="24"/>
          <w:szCs w:val="24"/>
        </w:rPr>
      </w:pPr>
    </w:p>
    <w:p w14:paraId="49506678" w14:textId="186812B9" w:rsidR="009F4FA9" w:rsidRPr="009F4FA9" w:rsidRDefault="009F4FA9" w:rsidP="009F4FA9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9F4FA9">
        <w:rPr>
          <w:rFonts w:ascii="Arial" w:hAnsi="Arial" w:cs="Arial"/>
          <w:color w:val="56575A"/>
          <w:sz w:val="24"/>
          <w:szCs w:val="24"/>
        </w:rPr>
        <w:t>Demonstra, também, as despesas por categoria econô</w:t>
      </w:r>
      <w:r w:rsidRPr="009F4FA9">
        <w:rPr>
          <w:rFonts w:ascii="Arial" w:hAnsi="Arial" w:cs="Arial"/>
          <w:color w:val="56575A"/>
          <w:sz w:val="24"/>
          <w:szCs w:val="24"/>
        </w:rPr>
        <w:softHyphen/>
        <w:t>mica e por grupo de natureza da despesa, discriminando a dotação inicial, a dotação atualizada para o exercício, as despesas empenhadas, as despesas liquidadas, as despesas pagas e o saldo da dotação.</w:t>
      </w:r>
    </w:p>
    <w:p w14:paraId="0F03A380" w14:textId="77777777" w:rsidR="009F4FA9" w:rsidRDefault="009F4FA9" w:rsidP="009F4FA9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93822D9" w14:textId="644D92ED" w:rsidR="00C92D8D" w:rsidRDefault="003016B9" w:rsidP="009F4FA9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3016B9">
        <w:rPr>
          <w:rFonts w:ascii="Arial" w:hAnsi="Arial" w:cs="Arial"/>
          <w:sz w:val="24"/>
          <w:szCs w:val="24"/>
        </w:rPr>
        <w:t xml:space="preserve">No BO, é possível verificar, de forma resumida, toda a execução orçamentária/ financeira da Instituição, execução já detalhada e discutida </w:t>
      </w:r>
      <w:r>
        <w:rPr>
          <w:rFonts w:ascii="Arial" w:hAnsi="Arial" w:cs="Arial"/>
          <w:sz w:val="24"/>
          <w:szCs w:val="24"/>
        </w:rPr>
        <w:t>anteriormente.</w:t>
      </w:r>
    </w:p>
    <w:p w14:paraId="654B453E" w14:textId="77777777" w:rsidR="00C92D8D" w:rsidRDefault="00C92D8D" w:rsidP="009F4FA9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531D24B6" w14:textId="77777777" w:rsidR="00C92D8D" w:rsidRDefault="00C92D8D" w:rsidP="009F4FA9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pPr w:leftFromText="141" w:rightFromText="141" w:vertAnchor="page" w:horzAnchor="margin" w:tblpXSpec="center" w:tblpY="11863"/>
        <w:tblW w:w="11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3"/>
        <w:gridCol w:w="1558"/>
        <w:gridCol w:w="1542"/>
        <w:gridCol w:w="1622"/>
        <w:gridCol w:w="1558"/>
        <w:gridCol w:w="1558"/>
        <w:gridCol w:w="1447"/>
        <w:gridCol w:w="160"/>
      </w:tblGrid>
      <w:tr w:rsidR="00516242" w:rsidRPr="00C92D8D" w14:paraId="643F2985" w14:textId="77777777" w:rsidTr="00F70762">
        <w:trPr>
          <w:gridAfter w:val="1"/>
          <w:wAfter w:w="160" w:type="dxa"/>
          <w:trHeight w:val="450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3B20CAE" w14:textId="77777777" w:rsidR="00516242" w:rsidRPr="00C92D8D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DESPESAS ORÇAMENTÁRIAS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09D5064" w14:textId="77777777" w:rsidR="00516242" w:rsidRPr="00C92D8D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DOTAÇÃO INICIAL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E21FCB8" w14:textId="77777777" w:rsidR="00516242" w:rsidRPr="00C92D8D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DOTAÇÃO ATUALIZADA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8E90A5D" w14:textId="77777777" w:rsidR="00516242" w:rsidRPr="00C92D8D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DESPESAS EMPENHADAS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F3F84B9" w14:textId="77777777" w:rsidR="00516242" w:rsidRPr="00C92D8D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DESPESAS LIQUIDADAS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2D39F79" w14:textId="77777777" w:rsidR="00516242" w:rsidRPr="00C92D8D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DESPESAS PAGAS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B99BEF2" w14:textId="77777777" w:rsidR="00516242" w:rsidRPr="00C92D8D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SALDO DA DOTAÇÃO</w:t>
            </w:r>
          </w:p>
        </w:tc>
      </w:tr>
      <w:tr w:rsidR="00516242" w:rsidRPr="00C92D8D" w14:paraId="3A54E285" w14:textId="77777777" w:rsidTr="00F70762">
        <w:trPr>
          <w:trHeight w:val="120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8CAD3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9F5FD" w14:textId="77777777" w:rsidR="00516242" w:rsidRPr="00C92D8D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ED5FC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3EDAD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1EA7B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D21FD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DAE50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373C" w14:textId="77777777" w:rsidR="00516242" w:rsidRPr="00C92D8D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516242" w:rsidRPr="00C92D8D" w14:paraId="0AE04B0E" w14:textId="77777777" w:rsidTr="00F70762">
        <w:trPr>
          <w:trHeight w:val="12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582ED78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DESPESAS CORRENTES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ADCF6AC" w14:textId="77777777" w:rsidR="00516242" w:rsidRPr="00C92D8D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2.023.628.634,00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9F01BC5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2.006.589.497,00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B663500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1.982.051.860,12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B0C1213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1.937.083.105,95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91E2AEA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1.789.934.512,97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560F579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24.537.636,88 </w:t>
            </w:r>
          </w:p>
        </w:tc>
        <w:tc>
          <w:tcPr>
            <w:tcW w:w="160" w:type="dxa"/>
            <w:vAlign w:val="center"/>
            <w:hideMark/>
          </w:tcPr>
          <w:p w14:paraId="53B61213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6242" w:rsidRPr="00C92D8D" w14:paraId="5EA0AC74" w14:textId="77777777" w:rsidTr="00F70762">
        <w:trPr>
          <w:trHeight w:val="12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1DFE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Pessoal e Encargos Sociais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852C" w14:textId="77777777" w:rsidR="00516242" w:rsidRPr="00C92D8D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1.829.624.218,00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B20B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1.816.213.376,00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074A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1.769.627.047,28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A409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1.769.032.808,93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B461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1.632.202.431,21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AF2D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46.586.328,72 </w:t>
            </w:r>
          </w:p>
        </w:tc>
        <w:tc>
          <w:tcPr>
            <w:tcW w:w="160" w:type="dxa"/>
            <w:vAlign w:val="center"/>
            <w:hideMark/>
          </w:tcPr>
          <w:p w14:paraId="33F52532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6242" w:rsidRPr="00C92D8D" w14:paraId="1BF1113D" w14:textId="77777777" w:rsidTr="00F70762">
        <w:trPr>
          <w:trHeight w:val="12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CE4F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Outras Despesas Correntes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8351" w14:textId="77777777" w:rsidR="00516242" w:rsidRPr="00C92D8D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194.004.416,00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935E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190.376.121,00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47ED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212.424.812,84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3394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168.050.297,02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7E93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157.732.081,76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7DA8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-22.048.691,84 </w:t>
            </w:r>
          </w:p>
        </w:tc>
        <w:tc>
          <w:tcPr>
            <w:tcW w:w="160" w:type="dxa"/>
            <w:vAlign w:val="center"/>
            <w:hideMark/>
          </w:tcPr>
          <w:p w14:paraId="471F6EF9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6242" w:rsidRPr="00C92D8D" w14:paraId="5EB8AE60" w14:textId="77777777" w:rsidTr="00F70762">
        <w:trPr>
          <w:trHeight w:val="12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A2F0F48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DESPESAS DE CAPITAL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A69E086" w14:textId="77777777" w:rsidR="00516242" w:rsidRPr="00C92D8D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19.156.111,00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AD74454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14.761.008,00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F652794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14.868.555,02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6AC232C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2.955.604,77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4CE10A0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2.741.554,09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0608218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-     107.547,02 </w:t>
            </w:r>
          </w:p>
        </w:tc>
        <w:tc>
          <w:tcPr>
            <w:tcW w:w="160" w:type="dxa"/>
            <w:vAlign w:val="center"/>
            <w:hideMark/>
          </w:tcPr>
          <w:p w14:paraId="416BC6DC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6242" w:rsidRPr="00C92D8D" w14:paraId="16B430C1" w14:textId="77777777" w:rsidTr="00F70762">
        <w:trPr>
          <w:trHeight w:val="12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8B83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Investimentos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1D59" w14:textId="77777777" w:rsidR="00516242" w:rsidRPr="00C92D8D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19.156.111,00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A371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14.761.008,00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0429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14.868.555,02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7820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 2.955.604,77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5EA9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 2.741.554,09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369C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-     107.547,02 </w:t>
            </w:r>
          </w:p>
        </w:tc>
        <w:tc>
          <w:tcPr>
            <w:tcW w:w="160" w:type="dxa"/>
            <w:vAlign w:val="center"/>
            <w:hideMark/>
          </w:tcPr>
          <w:p w14:paraId="5E08E7DF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6242" w:rsidRPr="00C92D8D" w14:paraId="58F521B7" w14:textId="77777777" w:rsidTr="00F70762">
        <w:trPr>
          <w:trHeight w:val="120"/>
        </w:trPr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9BF0E51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19507BA" w14:textId="77777777" w:rsidR="00516242" w:rsidRPr="00C92D8D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2.042.784.745,00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D563D4A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2.021.350.505,00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07A2E1A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1.996.920.415,14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A477CB3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1.940.038.710,72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387D664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1.792.676.067,06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D387B71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24.430.089,86 </w:t>
            </w:r>
          </w:p>
        </w:tc>
        <w:tc>
          <w:tcPr>
            <w:tcW w:w="160" w:type="dxa"/>
            <w:vAlign w:val="center"/>
            <w:hideMark/>
          </w:tcPr>
          <w:p w14:paraId="6AE471F8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</w:tbl>
    <w:p w14:paraId="5F2DF584" w14:textId="41381BCB" w:rsidR="003016B9" w:rsidRPr="00143B3A" w:rsidRDefault="003016B9" w:rsidP="003016B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43B3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Balanço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Orçamentário</w:t>
      </w:r>
      <w:r w:rsidRPr="00143B3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(resumido)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 Receitas</w:t>
      </w:r>
    </w:p>
    <w:tbl>
      <w:tblPr>
        <w:tblpPr w:leftFromText="141" w:rightFromText="141" w:vertAnchor="text" w:horzAnchor="margin" w:tblpXSpec="center" w:tblpY="218"/>
        <w:tblW w:w="110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1"/>
        <w:gridCol w:w="1702"/>
        <w:gridCol w:w="2380"/>
        <w:gridCol w:w="2198"/>
        <w:gridCol w:w="1728"/>
      </w:tblGrid>
      <w:tr w:rsidR="00516242" w:rsidRPr="00C92D8D" w14:paraId="7C2C3C27" w14:textId="77777777" w:rsidTr="00516242">
        <w:trPr>
          <w:trHeight w:val="311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2CD54F6F" w14:textId="77777777" w:rsidR="00516242" w:rsidRPr="00C92D8D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RECEITAS ORÇAMENTÁRIAS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0E55220E" w14:textId="77777777" w:rsidR="00516242" w:rsidRPr="00C92D8D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PREVISÃO INICIAL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7308268F" w14:textId="77777777" w:rsidR="00516242" w:rsidRPr="00C92D8D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PREVISÃO ATUALIZADA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1ABC33FD" w14:textId="77777777" w:rsidR="00516242" w:rsidRPr="00C92D8D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RECEITAS REALIZADAS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41232416" w14:textId="77777777" w:rsidR="00516242" w:rsidRPr="00C92D8D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SALDO</w:t>
            </w:r>
          </w:p>
        </w:tc>
      </w:tr>
      <w:tr w:rsidR="00516242" w:rsidRPr="00C92D8D" w14:paraId="70EEDA33" w14:textId="77777777" w:rsidTr="00516242">
        <w:trPr>
          <w:trHeight w:val="311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80C8E0B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RECEITAS CORRENTES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4B208CD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7.195.406,00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D085AEA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      7.195.406,00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494B6ED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         7.501.233,13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83A557F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305.827,13 </w:t>
            </w:r>
          </w:p>
        </w:tc>
      </w:tr>
      <w:tr w:rsidR="00516242" w:rsidRPr="00C92D8D" w14:paraId="0F9BDCB1" w14:textId="77777777" w:rsidTr="00516242">
        <w:trPr>
          <w:trHeight w:val="311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DA7B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Receita Patrimonial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4F37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        731.967,00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C319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                   731.967,00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9949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                   1.026.796,23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3B17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294.829,23 </w:t>
            </w:r>
          </w:p>
        </w:tc>
      </w:tr>
      <w:tr w:rsidR="00516242" w:rsidRPr="00C92D8D" w14:paraId="4D22FAFC" w14:textId="77777777" w:rsidTr="00516242">
        <w:trPr>
          <w:trHeight w:val="311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252D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Receita Agropecuária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1600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        160.190,00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D1FF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                   160.190,00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EEDD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                      228.000,00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7C37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  67.810,00 </w:t>
            </w:r>
          </w:p>
        </w:tc>
      </w:tr>
      <w:tr w:rsidR="00516242" w:rsidRPr="00C92D8D" w14:paraId="2E491393" w14:textId="77777777" w:rsidTr="00516242">
        <w:trPr>
          <w:trHeight w:val="311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6771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Receita de Serviços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4858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     6.303.249,00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4032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                6.303.249,00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8B0B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                   5.740.462,71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E669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-      562.786,29 </w:t>
            </w:r>
          </w:p>
        </w:tc>
      </w:tr>
      <w:tr w:rsidR="00516242" w:rsidRPr="00C92D8D" w14:paraId="555FEA07" w14:textId="77777777" w:rsidTr="00516242">
        <w:trPr>
          <w:trHeight w:val="311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C88B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Outras Receitas Correntes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43AE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                         -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331F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                                    -  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D59F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                      505.974,19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18CA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505.974,19 </w:t>
            </w:r>
          </w:p>
        </w:tc>
      </w:tr>
      <w:tr w:rsidR="00516242" w:rsidRPr="00C92D8D" w14:paraId="4A15B349" w14:textId="77777777" w:rsidTr="00516242">
        <w:trPr>
          <w:trHeight w:val="311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BA1F711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RECEITAS DE CAPITAL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F902FEC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               -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98B6E65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                          -  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516BD55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                             -  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46A38E7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      -   </w:t>
            </w:r>
          </w:p>
        </w:tc>
      </w:tr>
      <w:tr w:rsidR="00516242" w:rsidRPr="00C92D8D" w14:paraId="75BEB77F" w14:textId="77777777" w:rsidTr="00516242">
        <w:trPr>
          <w:trHeight w:val="311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D8BC84B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68FB7BE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7.195.406,00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288CD57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      7.195.406,00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53A49DD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         7.501.233,13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8307328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305.827,13 </w:t>
            </w:r>
          </w:p>
        </w:tc>
      </w:tr>
      <w:tr w:rsidR="00516242" w:rsidRPr="00C92D8D" w14:paraId="2C6C7468" w14:textId="77777777" w:rsidTr="00516242">
        <w:trPr>
          <w:trHeight w:val="311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679E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CRÉDITOS ADICIONAIS ABERTOS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E233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BB81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-                    21.434.240,00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432B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9379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21.434.240,00 </w:t>
            </w:r>
          </w:p>
        </w:tc>
      </w:tr>
      <w:tr w:rsidR="00516242" w:rsidRPr="00C92D8D" w14:paraId="72B6D289" w14:textId="77777777" w:rsidTr="00516242">
        <w:trPr>
          <w:trHeight w:val="311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7F63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EXCESSO DE ARRECADAÇÃO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EF5A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293C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             7.997.428,00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BEF5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A6E0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516242" w:rsidRPr="00C92D8D" w14:paraId="34279D1A" w14:textId="77777777" w:rsidTr="00516242">
        <w:trPr>
          <w:trHeight w:val="311"/>
        </w:trPr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D903" w14:textId="77777777" w:rsidR="00516242" w:rsidRPr="00C92D8D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CRÉDITOS CANCELADOS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430D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FFF8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-                    29.431.668,00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BA69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4EDF" w14:textId="77777777" w:rsidR="00516242" w:rsidRPr="00C92D8D" w:rsidRDefault="00516242" w:rsidP="005162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92D8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3CC80E2C" w14:textId="77777777" w:rsidR="00753DB9" w:rsidRPr="00836752" w:rsidRDefault="00753DB9" w:rsidP="00753D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36752">
        <w:rPr>
          <w:rFonts w:ascii="Arial" w:eastAsia="Times New Roman" w:hAnsi="Arial" w:cs="Arial"/>
          <w:sz w:val="24"/>
          <w:szCs w:val="24"/>
          <w:lang w:eastAsia="pt-BR"/>
        </w:rPr>
        <w:t xml:space="preserve">Fonte: </w:t>
      </w:r>
      <w:proofErr w:type="spellStart"/>
      <w:r w:rsidRPr="00836752">
        <w:rPr>
          <w:rFonts w:ascii="Arial" w:eastAsia="Times New Roman" w:hAnsi="Arial" w:cs="Arial"/>
          <w:sz w:val="24"/>
          <w:szCs w:val="24"/>
          <w:lang w:eastAsia="pt-BR"/>
        </w:rPr>
        <w:t>SiafiWeb</w:t>
      </w:r>
      <w:proofErr w:type="spellEnd"/>
    </w:p>
    <w:p w14:paraId="53F5644B" w14:textId="77777777" w:rsidR="00C92D8D" w:rsidRDefault="00C92D8D" w:rsidP="009F4FA9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858DADE" w14:textId="39BCC39A" w:rsidR="00516242" w:rsidRPr="00143B3A" w:rsidRDefault="00516242" w:rsidP="005162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43B3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Balanço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Orçamentário</w:t>
      </w:r>
      <w:r w:rsidRPr="00143B3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(resumido)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 Despesas</w:t>
      </w:r>
    </w:p>
    <w:p w14:paraId="77142CE9" w14:textId="77777777" w:rsidR="00516242" w:rsidRPr="00836752" w:rsidRDefault="00516242" w:rsidP="005162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36752">
        <w:rPr>
          <w:rFonts w:ascii="Arial" w:eastAsia="Times New Roman" w:hAnsi="Arial" w:cs="Arial"/>
          <w:sz w:val="24"/>
          <w:szCs w:val="24"/>
          <w:lang w:eastAsia="pt-BR"/>
        </w:rPr>
        <w:t xml:space="preserve">Fonte: </w:t>
      </w:r>
      <w:proofErr w:type="spellStart"/>
      <w:r w:rsidRPr="00836752">
        <w:rPr>
          <w:rFonts w:ascii="Arial" w:eastAsia="Times New Roman" w:hAnsi="Arial" w:cs="Arial"/>
          <w:sz w:val="24"/>
          <w:szCs w:val="24"/>
          <w:lang w:eastAsia="pt-BR"/>
        </w:rPr>
        <w:t>SiafiWeb</w:t>
      </w:r>
      <w:proofErr w:type="spellEnd"/>
    </w:p>
    <w:p w14:paraId="4C02BBCD" w14:textId="77777777" w:rsidR="00516242" w:rsidRDefault="00516242" w:rsidP="009F4FA9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5FFCB74" w14:textId="77777777" w:rsidR="00516242" w:rsidRDefault="00516242" w:rsidP="009F4FA9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D7C83B8" w14:textId="77777777" w:rsidR="00516242" w:rsidRDefault="00516242" w:rsidP="005162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433A">
        <w:rPr>
          <w:rFonts w:ascii="Arial" w:hAnsi="Arial" w:cs="Arial"/>
          <w:sz w:val="24"/>
          <w:szCs w:val="24"/>
        </w:rPr>
        <w:t xml:space="preserve">Com relação </w:t>
      </w:r>
      <w:r>
        <w:rPr>
          <w:rFonts w:ascii="Arial" w:hAnsi="Arial" w:cs="Arial"/>
          <w:sz w:val="24"/>
          <w:szCs w:val="24"/>
        </w:rPr>
        <w:t>aos Restos a Pagar, segue o demonstrativo abaixo:</w:t>
      </w:r>
    </w:p>
    <w:p w14:paraId="5CD6216E" w14:textId="77777777" w:rsidR="00516242" w:rsidRDefault="00516242" w:rsidP="005162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174FEC" w14:textId="77777777" w:rsidR="00516242" w:rsidRDefault="00516242" w:rsidP="009F4FA9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D2C09B1" w14:textId="77777777" w:rsidR="00516242" w:rsidRDefault="00516242" w:rsidP="009F4FA9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pPr w:leftFromText="141" w:rightFromText="141" w:vertAnchor="text" w:horzAnchor="margin" w:tblpXSpec="center" w:tblpY="-18"/>
        <w:tblW w:w="11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1267"/>
        <w:gridCol w:w="1753"/>
        <w:gridCol w:w="1790"/>
        <w:gridCol w:w="1790"/>
        <w:gridCol w:w="1747"/>
        <w:gridCol w:w="1826"/>
        <w:gridCol w:w="146"/>
      </w:tblGrid>
      <w:tr w:rsidR="00516242" w:rsidRPr="00516242" w14:paraId="2B105787" w14:textId="77777777" w:rsidTr="00516242">
        <w:trPr>
          <w:gridAfter w:val="1"/>
          <w:wAfter w:w="146" w:type="dxa"/>
          <w:trHeight w:val="1167"/>
        </w:trPr>
        <w:tc>
          <w:tcPr>
            <w:tcW w:w="1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B5A9BB0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GRUPO DA DESPESA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E1382C9" w14:textId="77777777" w:rsidR="00516242" w:rsidRPr="00516242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ANO</w:t>
            </w:r>
          </w:p>
        </w:tc>
        <w:tc>
          <w:tcPr>
            <w:tcW w:w="17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6D8D164F" w14:textId="77777777" w:rsidR="00516242" w:rsidRPr="00516242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RESTOS A PAGAR NAO PROCESSADOS INSCRITOS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89DC4DE" w14:textId="77777777" w:rsidR="00516242" w:rsidRPr="00516242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RESTOS A PAGAR NAO PROCESSADOS REINSCRITOS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37964F57" w14:textId="77777777" w:rsidR="00516242" w:rsidRPr="00516242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RESTOS A PAGAR NAO PROCESSADOS CANCELADOS</w:t>
            </w:r>
          </w:p>
        </w:tc>
        <w:tc>
          <w:tcPr>
            <w:tcW w:w="17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1C6E9C84" w14:textId="77777777" w:rsidR="00516242" w:rsidRPr="00516242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RESTOS A PAGAR NAO PROCESSADOS PAGOS</w:t>
            </w:r>
          </w:p>
        </w:tc>
        <w:tc>
          <w:tcPr>
            <w:tcW w:w="1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EA9DB"/>
            <w:vAlign w:val="center"/>
            <w:hideMark/>
          </w:tcPr>
          <w:p w14:paraId="5A773A9C" w14:textId="77777777" w:rsidR="00516242" w:rsidRPr="00516242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RESTOS A PAGAR NAO PROCESSADOS A PAGAR</w:t>
            </w:r>
          </w:p>
        </w:tc>
      </w:tr>
      <w:tr w:rsidR="00516242" w:rsidRPr="00516242" w14:paraId="4522D084" w14:textId="77777777" w:rsidTr="00516242">
        <w:trPr>
          <w:trHeight w:val="272"/>
        </w:trPr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FA9C41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924A9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01FF8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725E4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56989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7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E5EBE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5A525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5BAC" w14:textId="77777777" w:rsidR="00516242" w:rsidRPr="00516242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516242" w:rsidRPr="00516242" w14:paraId="7EB98733" w14:textId="77777777" w:rsidTr="00516242">
        <w:trPr>
          <w:trHeight w:val="318"/>
        </w:trPr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63BAE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C7958" w14:textId="77777777" w:rsidR="00516242" w:rsidRPr="00516242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2020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81DD4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D2767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104.999,60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D8F01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104.999,60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40B7A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939BD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328C925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6242" w:rsidRPr="00516242" w14:paraId="69B0DC0F" w14:textId="77777777" w:rsidTr="00516242">
        <w:trPr>
          <w:trHeight w:val="318"/>
        </w:trPr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4ABFC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6B126" w14:textId="77777777" w:rsidR="00516242" w:rsidRPr="00516242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2021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6C70A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426.303,91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E8201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E431F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233.587,84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1BF2D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189.276,77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FDCB2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3.439,30</w:t>
            </w:r>
          </w:p>
        </w:tc>
        <w:tc>
          <w:tcPr>
            <w:tcW w:w="146" w:type="dxa"/>
            <w:vAlign w:val="center"/>
            <w:hideMark/>
          </w:tcPr>
          <w:p w14:paraId="3F9246BF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6242" w:rsidRPr="00516242" w14:paraId="461E37C5" w14:textId="77777777" w:rsidTr="00516242">
        <w:trPr>
          <w:trHeight w:val="318"/>
        </w:trPr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72103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A49B4" w14:textId="77777777" w:rsidR="00516242" w:rsidRPr="00516242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A6184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426.303,91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C1112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104.999,60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7ACCA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338.587,44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CA5A2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189.276,77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B3967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3.439,30</w:t>
            </w:r>
          </w:p>
        </w:tc>
        <w:tc>
          <w:tcPr>
            <w:tcW w:w="146" w:type="dxa"/>
            <w:vAlign w:val="center"/>
            <w:hideMark/>
          </w:tcPr>
          <w:p w14:paraId="6B160081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6242" w:rsidRPr="00516242" w14:paraId="663887F6" w14:textId="77777777" w:rsidTr="00516242">
        <w:trPr>
          <w:trHeight w:val="318"/>
        </w:trPr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E516B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628F9" w14:textId="77777777" w:rsidR="00516242" w:rsidRPr="00516242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2018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EADA7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8A74D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1.058.842,05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70154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AAA83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C49DF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1.058.842,05</w:t>
            </w:r>
          </w:p>
        </w:tc>
        <w:tc>
          <w:tcPr>
            <w:tcW w:w="146" w:type="dxa"/>
            <w:vAlign w:val="center"/>
            <w:hideMark/>
          </w:tcPr>
          <w:p w14:paraId="0AEAA13E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6242" w:rsidRPr="00516242" w14:paraId="66FCCE08" w14:textId="77777777" w:rsidTr="00516242">
        <w:trPr>
          <w:trHeight w:val="318"/>
        </w:trPr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4CA4D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1AEF6" w14:textId="77777777" w:rsidR="00516242" w:rsidRPr="00516242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2019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1D5AF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F4489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58.230,41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50AD3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31.794,46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CE5F8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20.568,35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F201A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5.867,60</w:t>
            </w:r>
          </w:p>
        </w:tc>
        <w:tc>
          <w:tcPr>
            <w:tcW w:w="146" w:type="dxa"/>
            <w:vAlign w:val="center"/>
            <w:hideMark/>
          </w:tcPr>
          <w:p w14:paraId="191F75F4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6242" w:rsidRPr="00516242" w14:paraId="37D6C11A" w14:textId="77777777" w:rsidTr="00516242">
        <w:trPr>
          <w:trHeight w:val="318"/>
        </w:trPr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8F22F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FB06B" w14:textId="77777777" w:rsidR="00516242" w:rsidRPr="00516242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2020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FCD51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46B19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13.121.764,70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D93A6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8.549.695,89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5FAA2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3.238.950,10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CDC97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1.333.118,71</w:t>
            </w:r>
          </w:p>
        </w:tc>
        <w:tc>
          <w:tcPr>
            <w:tcW w:w="146" w:type="dxa"/>
            <w:vAlign w:val="center"/>
            <w:hideMark/>
          </w:tcPr>
          <w:p w14:paraId="6437481F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6242" w:rsidRPr="00516242" w14:paraId="52704DD6" w14:textId="77777777" w:rsidTr="00516242">
        <w:trPr>
          <w:trHeight w:val="318"/>
        </w:trPr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AD53E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37A59" w14:textId="77777777" w:rsidR="00516242" w:rsidRPr="00516242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2021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98579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28.493.688,07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21DF7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4709D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3.725.512,29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0EF74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20.592.668,47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F2CBB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4.175.507,31</w:t>
            </w:r>
          </w:p>
        </w:tc>
        <w:tc>
          <w:tcPr>
            <w:tcW w:w="146" w:type="dxa"/>
            <w:vAlign w:val="center"/>
            <w:hideMark/>
          </w:tcPr>
          <w:p w14:paraId="5B43C884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6242" w:rsidRPr="00516242" w14:paraId="62190678" w14:textId="77777777" w:rsidTr="00516242">
        <w:trPr>
          <w:trHeight w:val="318"/>
        </w:trPr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6FB6F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8B25B" w14:textId="77777777" w:rsidR="00516242" w:rsidRPr="00516242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F2F84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28.493.688,07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EA85B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14.238.837,16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D76E3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12.307.002,64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6B56A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23.852.186,92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A59E9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6.573.335,67</w:t>
            </w:r>
          </w:p>
        </w:tc>
        <w:tc>
          <w:tcPr>
            <w:tcW w:w="146" w:type="dxa"/>
            <w:vAlign w:val="center"/>
            <w:hideMark/>
          </w:tcPr>
          <w:p w14:paraId="6517EE2C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6242" w:rsidRPr="00516242" w14:paraId="2D302170" w14:textId="77777777" w:rsidTr="00516242">
        <w:trPr>
          <w:trHeight w:val="318"/>
        </w:trPr>
        <w:tc>
          <w:tcPr>
            <w:tcW w:w="11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A1D6E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7FE20" w14:textId="77777777" w:rsidR="00516242" w:rsidRPr="00516242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2016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CBA2A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E9AFF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161.653,99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D1C41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151.985,58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1A795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6BAEC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9.668,41</w:t>
            </w:r>
          </w:p>
        </w:tc>
        <w:tc>
          <w:tcPr>
            <w:tcW w:w="146" w:type="dxa"/>
            <w:vAlign w:val="center"/>
            <w:hideMark/>
          </w:tcPr>
          <w:p w14:paraId="6F8DC79F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6242" w:rsidRPr="00516242" w14:paraId="4598B9E0" w14:textId="77777777" w:rsidTr="00516242">
        <w:trPr>
          <w:trHeight w:val="318"/>
        </w:trPr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F9723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5DE32" w14:textId="77777777" w:rsidR="00516242" w:rsidRPr="00516242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2018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A251D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EBA9A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13.379,56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98375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484,64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4ED5A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28B56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12.894,92</w:t>
            </w:r>
          </w:p>
        </w:tc>
        <w:tc>
          <w:tcPr>
            <w:tcW w:w="146" w:type="dxa"/>
            <w:vAlign w:val="center"/>
            <w:hideMark/>
          </w:tcPr>
          <w:p w14:paraId="4AE81C76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6242" w:rsidRPr="00516242" w14:paraId="17BF25DC" w14:textId="77777777" w:rsidTr="00516242">
        <w:trPr>
          <w:trHeight w:val="318"/>
        </w:trPr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FAC81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99A71" w14:textId="77777777" w:rsidR="00516242" w:rsidRPr="00516242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2019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6C920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EB5EE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203.954,08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6351E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08894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476F3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203.954,08</w:t>
            </w:r>
          </w:p>
        </w:tc>
        <w:tc>
          <w:tcPr>
            <w:tcW w:w="146" w:type="dxa"/>
            <w:vAlign w:val="center"/>
            <w:hideMark/>
          </w:tcPr>
          <w:p w14:paraId="5A84124E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6242" w:rsidRPr="00516242" w14:paraId="4DB566D8" w14:textId="77777777" w:rsidTr="00516242">
        <w:trPr>
          <w:trHeight w:val="318"/>
        </w:trPr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C3580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D3B68" w14:textId="77777777" w:rsidR="00516242" w:rsidRPr="00516242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2020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CB855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86D85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3.543.533,37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E5C97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838.300,50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2B518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1.037.898,75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A21F3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1.667.334,12</w:t>
            </w:r>
          </w:p>
        </w:tc>
        <w:tc>
          <w:tcPr>
            <w:tcW w:w="146" w:type="dxa"/>
            <w:vAlign w:val="center"/>
            <w:hideMark/>
          </w:tcPr>
          <w:p w14:paraId="02854504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6242" w:rsidRPr="00516242" w14:paraId="7824EDED" w14:textId="77777777" w:rsidTr="00516242">
        <w:trPr>
          <w:trHeight w:val="318"/>
        </w:trPr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755BF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152BC" w14:textId="77777777" w:rsidR="00516242" w:rsidRPr="00516242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2021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FC1AD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15.714.872,72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5D958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FFA74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964.314,36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82D26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9.965.297,72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8F20D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4.785.260,64</w:t>
            </w:r>
          </w:p>
        </w:tc>
        <w:tc>
          <w:tcPr>
            <w:tcW w:w="146" w:type="dxa"/>
            <w:vAlign w:val="center"/>
            <w:hideMark/>
          </w:tcPr>
          <w:p w14:paraId="3B2AE877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6242" w:rsidRPr="00516242" w14:paraId="2807EDB5" w14:textId="77777777" w:rsidTr="00516242">
        <w:trPr>
          <w:trHeight w:val="318"/>
        </w:trPr>
        <w:tc>
          <w:tcPr>
            <w:tcW w:w="11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88EFD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25D59" w14:textId="77777777" w:rsidR="00516242" w:rsidRPr="00516242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3E636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15.714.872,72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39F61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3.922.521,00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60629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1.955.085,08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71607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11.003.196,47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50128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6.679.112,17</w:t>
            </w:r>
          </w:p>
        </w:tc>
        <w:tc>
          <w:tcPr>
            <w:tcW w:w="146" w:type="dxa"/>
            <w:vAlign w:val="center"/>
            <w:hideMark/>
          </w:tcPr>
          <w:p w14:paraId="280A23B0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516242" w:rsidRPr="00516242" w14:paraId="37F49142" w14:textId="77777777" w:rsidTr="00516242">
        <w:trPr>
          <w:trHeight w:val="318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5336F944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7F058E99" w14:textId="77777777" w:rsidR="00516242" w:rsidRPr="00516242" w:rsidRDefault="00516242" w:rsidP="00516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133C8F2D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44.634.864,70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154D741D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18.266.357,76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576C29F1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14.600.675,16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6B91DF3C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35.044.660,16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A9DB"/>
            <w:noWrap/>
            <w:vAlign w:val="center"/>
            <w:hideMark/>
          </w:tcPr>
          <w:p w14:paraId="562DF516" w14:textId="77777777" w:rsidR="00516242" w:rsidRPr="00516242" w:rsidRDefault="00516242" w:rsidP="005162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516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13.255.887,14</w:t>
            </w:r>
          </w:p>
        </w:tc>
        <w:tc>
          <w:tcPr>
            <w:tcW w:w="146" w:type="dxa"/>
            <w:vAlign w:val="center"/>
            <w:hideMark/>
          </w:tcPr>
          <w:p w14:paraId="3C20233C" w14:textId="77777777" w:rsidR="00516242" w:rsidRPr="00516242" w:rsidRDefault="00516242" w:rsidP="005162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</w:tbl>
    <w:p w14:paraId="4F8E9A31" w14:textId="48810316" w:rsidR="00CC27B7" w:rsidRPr="00836752" w:rsidRDefault="00CC27B7" w:rsidP="00CC27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36752">
        <w:rPr>
          <w:rFonts w:ascii="Arial" w:eastAsia="Times New Roman" w:hAnsi="Arial" w:cs="Arial"/>
          <w:sz w:val="24"/>
          <w:szCs w:val="24"/>
          <w:lang w:eastAsia="pt-BR"/>
        </w:rPr>
        <w:t xml:space="preserve">Fonte: </w:t>
      </w:r>
      <w:r>
        <w:rPr>
          <w:rFonts w:ascii="Arial" w:eastAsia="Times New Roman" w:hAnsi="Arial" w:cs="Arial"/>
          <w:sz w:val="24"/>
          <w:szCs w:val="24"/>
          <w:lang w:eastAsia="pt-BR"/>
        </w:rPr>
        <w:t>Tesouro Gerencial</w:t>
      </w:r>
    </w:p>
    <w:p w14:paraId="45AE36D2" w14:textId="77777777" w:rsidR="0078433A" w:rsidRDefault="0078433A" w:rsidP="009F4F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A76EE8" w14:textId="77777777" w:rsidR="0078433A" w:rsidRDefault="0078433A" w:rsidP="009F4F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45EF19" w14:textId="77777777" w:rsidR="00CC27B7" w:rsidRDefault="00CC27B7" w:rsidP="00516242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410D4AF7" w14:textId="44D764E1" w:rsidR="00516242" w:rsidRPr="00516242" w:rsidRDefault="00516242" w:rsidP="00516242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516242">
        <w:rPr>
          <w:rFonts w:ascii="Arial" w:hAnsi="Arial" w:cs="Arial"/>
          <w:sz w:val="24"/>
          <w:szCs w:val="24"/>
        </w:rPr>
        <w:t xml:space="preserve">Por decisão administrativa foram mantidos os empenhos de Restos a Pagar não Processados de 2016 em diante. Até o final do exercício de 2022 o saldo é de R$ 13.255.887,14 (sendo 49,61% de Custeio e 50,39% de Investimento).  </w:t>
      </w:r>
    </w:p>
    <w:p w14:paraId="3601C03F" w14:textId="77777777" w:rsidR="00516242" w:rsidRPr="00516242" w:rsidRDefault="00516242" w:rsidP="00516242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7C38F48B" w14:textId="77777777" w:rsidR="00516242" w:rsidRPr="00516242" w:rsidRDefault="00516242" w:rsidP="00516242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516242">
        <w:rPr>
          <w:rFonts w:ascii="Arial" w:hAnsi="Arial" w:cs="Arial"/>
          <w:sz w:val="24"/>
          <w:szCs w:val="24"/>
        </w:rPr>
        <w:t xml:space="preserve">Os cancelamentos de RPNP totalizaram o valor de R$ 14.600.675,16. Os motivos que levaram ao cancelamento foram: a Instituição possuir empenhos de 2022 para custear as mesmas despesas inscritas em RPNP; não havia mais interesse da Administração no recebimento em virtude do atraso na entrega; por algumas empresas estarem com impedimentos no SICAF. </w:t>
      </w:r>
    </w:p>
    <w:p w14:paraId="13497D44" w14:textId="77777777" w:rsidR="0078433A" w:rsidRPr="00516242" w:rsidRDefault="0078433A" w:rsidP="009F4FA9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180C5B7F" w14:textId="77777777" w:rsidR="0078433A" w:rsidRDefault="0078433A" w:rsidP="009F4F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2CE53E" w14:textId="77777777" w:rsidR="0078433A" w:rsidRDefault="0078433A" w:rsidP="009F4F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C5B48F" w14:textId="77777777" w:rsidR="0078433A" w:rsidRDefault="0078433A" w:rsidP="009F4F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F4DA53" w14:textId="77777777" w:rsidR="0078433A" w:rsidRDefault="0078433A" w:rsidP="009F4F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7AEC73" w14:textId="77777777" w:rsidR="0078433A" w:rsidRDefault="0078433A" w:rsidP="009F4F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A1FB13" w14:textId="77777777" w:rsidR="0078433A" w:rsidRPr="0078433A" w:rsidRDefault="0078433A" w:rsidP="009F4F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63336B" w14:textId="4F8B4424" w:rsidR="004A2AB6" w:rsidRDefault="004A2AB6" w:rsidP="004A2AB6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  <w:r w:rsidRPr="009F4FA9">
        <w:rPr>
          <w:rFonts w:ascii="Arial" w:hAnsi="Arial" w:cs="Arial"/>
          <w:b/>
          <w:bCs/>
          <w:sz w:val="24"/>
          <w:szCs w:val="24"/>
        </w:rPr>
        <w:t xml:space="preserve">Balanço </w:t>
      </w:r>
      <w:r>
        <w:rPr>
          <w:rFonts w:ascii="Arial" w:hAnsi="Arial" w:cs="Arial"/>
          <w:b/>
          <w:bCs/>
          <w:sz w:val="24"/>
          <w:szCs w:val="24"/>
        </w:rPr>
        <w:t>Financeiro</w:t>
      </w:r>
      <w:r w:rsidRPr="009F4FA9">
        <w:rPr>
          <w:rFonts w:ascii="Arial" w:hAnsi="Arial" w:cs="Arial"/>
          <w:b/>
          <w:bCs/>
          <w:sz w:val="24"/>
          <w:szCs w:val="24"/>
        </w:rPr>
        <w:t xml:space="preserve"> (B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9F4FA9">
        <w:rPr>
          <w:rFonts w:ascii="Arial" w:hAnsi="Arial" w:cs="Arial"/>
          <w:b/>
          <w:bCs/>
          <w:sz w:val="24"/>
          <w:szCs w:val="24"/>
        </w:rPr>
        <w:t xml:space="preserve">) </w:t>
      </w:r>
    </w:p>
    <w:p w14:paraId="7ABB18BA" w14:textId="77777777" w:rsidR="004A2AB6" w:rsidRDefault="004A2AB6" w:rsidP="004A2AB6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</w:p>
    <w:p w14:paraId="6CB61B8A" w14:textId="77777777" w:rsidR="004A2AB6" w:rsidRDefault="004A2AB6" w:rsidP="004A2AB6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</w:p>
    <w:p w14:paraId="63C44FA6" w14:textId="7D307D40" w:rsidR="004A2AB6" w:rsidRPr="004A2AB6" w:rsidRDefault="004A2AB6" w:rsidP="004A2AB6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  <w:r w:rsidRPr="004A2AB6">
        <w:rPr>
          <w:rFonts w:ascii="Arial" w:hAnsi="Arial" w:cs="Arial"/>
          <w:color w:val="56575A"/>
          <w:sz w:val="24"/>
          <w:szCs w:val="24"/>
        </w:rPr>
        <w:t>Nesse balanço, evidenciamos as receitas e as despesas orçamentárias, bem como os ingressos e os dispêndios extraorçamentários, conjugados com os saldos de caixa do exercício anterior e os que se transferem para o início do exercício seguinte.</w:t>
      </w:r>
    </w:p>
    <w:p w14:paraId="09DC40C6" w14:textId="77777777" w:rsidR="007E4DE7" w:rsidRDefault="007E4DE7" w:rsidP="004A2AB6">
      <w:pPr>
        <w:jc w:val="both"/>
        <w:rPr>
          <w:rFonts w:ascii="Arial" w:hAnsi="Arial" w:cs="Arial"/>
          <w:color w:val="56575A"/>
          <w:sz w:val="24"/>
          <w:szCs w:val="24"/>
        </w:rPr>
      </w:pPr>
    </w:p>
    <w:p w14:paraId="4CD11E4C" w14:textId="02A833EA" w:rsidR="007E4DE7" w:rsidRDefault="007E4DE7" w:rsidP="004A2AB6">
      <w:pPr>
        <w:jc w:val="both"/>
        <w:rPr>
          <w:rFonts w:ascii="Arial" w:hAnsi="Arial" w:cs="Arial"/>
          <w:color w:val="56575A"/>
          <w:sz w:val="24"/>
          <w:szCs w:val="24"/>
        </w:rPr>
      </w:pPr>
      <w:r w:rsidRPr="007E4DE7">
        <w:rPr>
          <w:rFonts w:ascii="Arial" w:hAnsi="Arial" w:cs="Arial"/>
          <w:color w:val="56575A"/>
          <w:sz w:val="24"/>
          <w:szCs w:val="24"/>
        </w:rPr>
        <w:t>O BF se divide em dois lados, o dos Ingressos (receitas orçamentárias e recebimentos extraorçamentários) e Dispêndios (despesa orçamentária e pagamentos extraorçamentários), além dos saldos inicial e final da conta de caixa e equivalentes de caixa.</w:t>
      </w:r>
    </w:p>
    <w:p w14:paraId="3AA05DBC" w14:textId="18AEBD7D" w:rsidR="007E4DE7" w:rsidRDefault="007E4DE7" w:rsidP="004A2AB6">
      <w:pPr>
        <w:jc w:val="both"/>
        <w:rPr>
          <w:rFonts w:ascii="Arial" w:hAnsi="Arial" w:cs="Arial"/>
          <w:color w:val="56575A"/>
          <w:sz w:val="24"/>
          <w:szCs w:val="24"/>
        </w:rPr>
      </w:pPr>
      <w:r>
        <w:rPr>
          <w:rFonts w:ascii="Arial" w:hAnsi="Arial" w:cs="Arial"/>
          <w:color w:val="56575A"/>
          <w:sz w:val="24"/>
          <w:szCs w:val="24"/>
        </w:rPr>
        <w:t>A seguir observa-se o Balanço Financeiro resumido de 2022 em comparação à 2021 e também o resultado financeiro desses anos.</w:t>
      </w:r>
    </w:p>
    <w:p w14:paraId="11917A09" w14:textId="77777777" w:rsidR="007E4DE7" w:rsidRDefault="007E4DE7" w:rsidP="004A2AB6">
      <w:pPr>
        <w:jc w:val="both"/>
        <w:rPr>
          <w:rFonts w:ascii="Arial" w:hAnsi="Arial" w:cs="Arial"/>
          <w:color w:val="56575A"/>
          <w:sz w:val="24"/>
          <w:szCs w:val="24"/>
        </w:rPr>
      </w:pPr>
    </w:p>
    <w:p w14:paraId="3CD433E6" w14:textId="0475CA28" w:rsidR="007E4DE7" w:rsidRDefault="007E4DE7" w:rsidP="007E4DE7">
      <w:pPr>
        <w:jc w:val="center"/>
        <w:rPr>
          <w:rFonts w:ascii="Arial" w:hAnsi="Arial" w:cs="Arial"/>
          <w:color w:val="56575A"/>
          <w:sz w:val="24"/>
          <w:szCs w:val="24"/>
        </w:rPr>
      </w:pPr>
      <w:r w:rsidRPr="00143B3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Balanço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Financeiro</w:t>
      </w:r>
      <w:r w:rsidRPr="00143B3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(resumido)</w:t>
      </w:r>
    </w:p>
    <w:p w14:paraId="65CC96BF" w14:textId="77777777" w:rsidR="007E4DE7" w:rsidRDefault="007E4DE7" w:rsidP="004A2AB6">
      <w:pPr>
        <w:jc w:val="both"/>
        <w:rPr>
          <w:rFonts w:ascii="Arial" w:hAnsi="Arial" w:cs="Arial"/>
          <w:color w:val="56575A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2180"/>
        <w:gridCol w:w="2427"/>
      </w:tblGrid>
      <w:tr w:rsidR="007E4DE7" w:rsidRPr="007E4DE7" w14:paraId="43AA6DD7" w14:textId="77777777" w:rsidTr="007E4DE7">
        <w:trPr>
          <w:trHeight w:val="315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781BDB8" w14:textId="77777777" w:rsidR="007E4DE7" w:rsidRPr="007E4DE7" w:rsidRDefault="007E4DE7" w:rsidP="007E4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INGRESSOS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75815FB" w14:textId="77777777" w:rsidR="007E4DE7" w:rsidRPr="007E4DE7" w:rsidRDefault="007E4DE7" w:rsidP="007E4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9502BBA" w14:textId="77777777" w:rsidR="007E4DE7" w:rsidRPr="007E4DE7" w:rsidRDefault="007E4DE7" w:rsidP="007E4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2021</w:t>
            </w:r>
          </w:p>
        </w:tc>
      </w:tr>
      <w:tr w:rsidR="007E4DE7" w:rsidRPr="007E4DE7" w14:paraId="694C36E6" w14:textId="77777777" w:rsidTr="001B5F0B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A0D3" w14:textId="77777777" w:rsidR="007E4DE7" w:rsidRPr="007E4DE7" w:rsidRDefault="007E4DE7" w:rsidP="007E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Receitas Orçamentárias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AC90B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7.501.233,13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F97B8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     3.396.612,27 </w:t>
            </w:r>
          </w:p>
        </w:tc>
      </w:tr>
      <w:tr w:rsidR="007E4DE7" w:rsidRPr="007E4DE7" w14:paraId="3115CAEA" w14:textId="77777777" w:rsidTr="007E4DE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F337" w14:textId="77777777" w:rsidR="007E4DE7" w:rsidRPr="007E4DE7" w:rsidRDefault="007E4DE7" w:rsidP="007E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Transferências Financeiras Recebidas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960C5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2.213.318.050,35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22C99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2.243.710.637,56 </w:t>
            </w:r>
          </w:p>
        </w:tc>
      </w:tr>
      <w:tr w:rsidR="007E4DE7" w:rsidRPr="007E4DE7" w14:paraId="4F0D6EC5" w14:textId="77777777" w:rsidTr="007E4DE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4AFA" w14:textId="77777777" w:rsidR="007E4DE7" w:rsidRPr="007E4DE7" w:rsidRDefault="007E4DE7" w:rsidP="007E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Recebimentos Extraorçamentários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715BC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208.676.018,59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9C0FD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191.892.127,94 </w:t>
            </w:r>
          </w:p>
        </w:tc>
      </w:tr>
      <w:tr w:rsidR="007E4DE7" w:rsidRPr="007E4DE7" w14:paraId="32738F21" w14:textId="77777777" w:rsidTr="007E4DE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52A2" w14:textId="77777777" w:rsidR="007E4DE7" w:rsidRPr="007E4DE7" w:rsidRDefault="007E4DE7" w:rsidP="007E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Saldo do Exercício Anterior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ED3D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152.202.503,76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1593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156.622.398,38 </w:t>
            </w:r>
          </w:p>
        </w:tc>
      </w:tr>
      <w:tr w:rsidR="007E4DE7" w:rsidRPr="007E4DE7" w14:paraId="782598FB" w14:textId="77777777" w:rsidTr="007E4DE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C007" w14:textId="77777777" w:rsidR="007E4DE7" w:rsidRPr="007E4DE7" w:rsidRDefault="007E4DE7" w:rsidP="007E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Caixa e Equivalentes de Caixa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9A9F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152.202.503,76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8393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156.622.398,38 </w:t>
            </w:r>
          </w:p>
        </w:tc>
      </w:tr>
      <w:tr w:rsidR="007E4DE7" w:rsidRPr="007E4DE7" w14:paraId="7FE2799A" w14:textId="77777777" w:rsidTr="007E4DE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56ADBAE" w14:textId="77777777" w:rsidR="007E4DE7" w:rsidRPr="007E4DE7" w:rsidRDefault="007E4DE7" w:rsidP="007E4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F7A7DD8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2.581.697.805,83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93ACD4B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2.595.621.776,15 </w:t>
            </w:r>
          </w:p>
        </w:tc>
      </w:tr>
      <w:tr w:rsidR="007E4DE7" w:rsidRPr="007E4DE7" w14:paraId="66153BBD" w14:textId="77777777" w:rsidTr="007E4DE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E601477" w14:textId="77777777" w:rsidR="007E4DE7" w:rsidRPr="007E4DE7" w:rsidRDefault="007E4DE7" w:rsidP="007E4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DISPÊNDIOS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6FDD519" w14:textId="77777777" w:rsidR="007E4DE7" w:rsidRPr="007E4DE7" w:rsidRDefault="007E4DE7" w:rsidP="007E4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2022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2E4FEF1" w14:textId="77777777" w:rsidR="007E4DE7" w:rsidRPr="007E4DE7" w:rsidRDefault="007E4DE7" w:rsidP="007E4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2021</w:t>
            </w:r>
          </w:p>
        </w:tc>
      </w:tr>
      <w:tr w:rsidR="007E4DE7" w:rsidRPr="007E4DE7" w14:paraId="300C275F" w14:textId="77777777" w:rsidTr="007E4DE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B9D8" w14:textId="77777777" w:rsidR="007E4DE7" w:rsidRPr="007E4DE7" w:rsidRDefault="007E4DE7" w:rsidP="007E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Despesas Orçamentárias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637ACB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1.996.920.415,14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AAA17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1.962.351.790,77 </w:t>
            </w:r>
          </w:p>
        </w:tc>
      </w:tr>
      <w:tr w:rsidR="007E4DE7" w:rsidRPr="007E4DE7" w14:paraId="7988FFB3" w14:textId="77777777" w:rsidTr="007E4DE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3A75" w14:textId="77777777" w:rsidR="007E4DE7" w:rsidRPr="007E4DE7" w:rsidRDefault="007E4DE7" w:rsidP="007E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Transferências Financeiras Concedidas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7744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246.575.736,19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4098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282.601.751,60 </w:t>
            </w:r>
          </w:p>
        </w:tc>
      </w:tr>
      <w:tr w:rsidR="007E4DE7" w:rsidRPr="007E4DE7" w14:paraId="023F94C2" w14:textId="77777777" w:rsidTr="007E4DE7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793B" w14:textId="77777777" w:rsidR="007E4DE7" w:rsidRPr="007E4DE7" w:rsidRDefault="007E4DE7" w:rsidP="007E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Despesas Extraorçamentárias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8202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180.833.921,42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5BB3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198.465.730,02 </w:t>
            </w:r>
          </w:p>
        </w:tc>
      </w:tr>
      <w:tr w:rsidR="007E4DE7" w:rsidRPr="007E4DE7" w14:paraId="552E529F" w14:textId="77777777" w:rsidTr="007E4DE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88D4" w14:textId="77777777" w:rsidR="007E4DE7" w:rsidRPr="007E4DE7" w:rsidRDefault="007E4DE7" w:rsidP="007E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Saldo para o Exercício Seguinte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0941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157.367.733,08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E419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152.202.503,76 </w:t>
            </w:r>
          </w:p>
        </w:tc>
      </w:tr>
      <w:tr w:rsidR="007E4DE7" w:rsidRPr="007E4DE7" w14:paraId="760CA497" w14:textId="77777777" w:rsidTr="007E4DE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78CC" w14:textId="77777777" w:rsidR="007E4DE7" w:rsidRPr="007E4DE7" w:rsidRDefault="007E4DE7" w:rsidP="007E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Caixa e Equivalentes de Caixa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1E8D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157.367.733,08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C531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     152.202.503,76 </w:t>
            </w:r>
          </w:p>
        </w:tc>
      </w:tr>
      <w:tr w:rsidR="007E4DE7" w:rsidRPr="007E4DE7" w14:paraId="35E44183" w14:textId="77777777" w:rsidTr="007E4DE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E13331C" w14:textId="77777777" w:rsidR="007E4DE7" w:rsidRPr="007E4DE7" w:rsidRDefault="007E4DE7" w:rsidP="007E4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19C9590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2.581.697.805,83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F22675E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2.595.621.776,15 </w:t>
            </w:r>
          </w:p>
        </w:tc>
      </w:tr>
      <w:tr w:rsidR="007E4DE7" w:rsidRPr="007E4DE7" w14:paraId="48E058CA" w14:textId="77777777" w:rsidTr="007E4DE7">
        <w:trPr>
          <w:trHeight w:val="315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0B2198E" w14:textId="77777777" w:rsidR="007E4DE7" w:rsidRPr="007E4DE7" w:rsidRDefault="007E4DE7" w:rsidP="007E4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RESULTADO FINANCEIRO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B8B23B2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5.165.229,32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3E5259A" w14:textId="77777777" w:rsidR="007E4DE7" w:rsidRPr="007E4DE7" w:rsidRDefault="007E4DE7" w:rsidP="007E4D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E4D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-          4.419.894,62 </w:t>
            </w:r>
          </w:p>
        </w:tc>
      </w:tr>
    </w:tbl>
    <w:p w14:paraId="58E6E06F" w14:textId="77777777" w:rsidR="00CC27B7" w:rsidRPr="00836752" w:rsidRDefault="00CC27B7" w:rsidP="00CC27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36752">
        <w:rPr>
          <w:rFonts w:ascii="Arial" w:eastAsia="Times New Roman" w:hAnsi="Arial" w:cs="Arial"/>
          <w:sz w:val="24"/>
          <w:szCs w:val="24"/>
          <w:lang w:eastAsia="pt-BR"/>
        </w:rPr>
        <w:t xml:space="preserve">Fonte: </w:t>
      </w:r>
      <w:proofErr w:type="spellStart"/>
      <w:r w:rsidRPr="00836752">
        <w:rPr>
          <w:rFonts w:ascii="Arial" w:eastAsia="Times New Roman" w:hAnsi="Arial" w:cs="Arial"/>
          <w:sz w:val="24"/>
          <w:szCs w:val="24"/>
          <w:lang w:eastAsia="pt-BR"/>
        </w:rPr>
        <w:t>SiafiWeb</w:t>
      </w:r>
      <w:proofErr w:type="spellEnd"/>
    </w:p>
    <w:p w14:paraId="064DBD49" w14:textId="77777777" w:rsidR="007E4DE7" w:rsidRDefault="007E4DE7" w:rsidP="004A2AB6">
      <w:pPr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14:paraId="5599C512" w14:textId="77777777" w:rsidR="00333C26" w:rsidRDefault="00333C26" w:rsidP="004A2AB6">
      <w:pPr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14:paraId="75BBA3A6" w14:textId="2F7BA0ED" w:rsidR="00333C26" w:rsidRDefault="00333C26" w:rsidP="004A2AB6">
      <w:pPr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>
        <w:rPr>
          <w:noProof/>
        </w:rPr>
        <w:drawing>
          <wp:inline distT="0" distB="0" distL="0" distR="0" wp14:anchorId="34D980B6" wp14:editId="172B8D14">
            <wp:extent cx="4572000" cy="2995613"/>
            <wp:effectExtent l="0" t="0" r="0" b="14605"/>
            <wp:docPr id="105044400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A20AAE5-EF25-42FB-E7E5-AAAAB94243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04BE6CC" w14:textId="77777777" w:rsidR="00333C26" w:rsidRDefault="00333C26" w:rsidP="004A2AB6">
      <w:pPr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14:paraId="42BE8757" w14:textId="5C8F7187" w:rsidR="00333C26" w:rsidRDefault="00333C26" w:rsidP="004A2AB6">
      <w:pPr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>
        <w:rPr>
          <w:noProof/>
        </w:rPr>
        <w:drawing>
          <wp:inline distT="0" distB="0" distL="0" distR="0" wp14:anchorId="06034195" wp14:editId="63E8B7D2">
            <wp:extent cx="4572000" cy="2743200"/>
            <wp:effectExtent l="0" t="0" r="0" b="0"/>
            <wp:docPr id="112521033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AA8D95A-59F0-0A0D-7E03-FFA32F7D7E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5A664E" w14:textId="77777777" w:rsidR="00516242" w:rsidRDefault="00516242" w:rsidP="004A2AB6">
      <w:pPr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14:paraId="2D8BAD02" w14:textId="77777777" w:rsidR="00516242" w:rsidRDefault="00516242" w:rsidP="004A2AB6">
      <w:pPr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14:paraId="150C977D" w14:textId="77777777" w:rsidR="00516242" w:rsidRDefault="00516242" w:rsidP="004A2AB6">
      <w:pPr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14:paraId="1E565817" w14:textId="77777777" w:rsidR="00516242" w:rsidRDefault="00516242" w:rsidP="004A2AB6">
      <w:pPr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14:paraId="1355EBFD" w14:textId="77777777" w:rsidR="00516242" w:rsidRDefault="00516242" w:rsidP="004A2AB6">
      <w:pPr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14:paraId="705CC3AC" w14:textId="77777777" w:rsidR="00516242" w:rsidRDefault="00516242" w:rsidP="004A2AB6">
      <w:pPr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14:paraId="6773A877" w14:textId="77777777" w:rsidR="00516242" w:rsidRDefault="00516242" w:rsidP="004A2AB6">
      <w:pPr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14:paraId="79285225" w14:textId="77777777" w:rsidR="00516242" w:rsidRDefault="00516242" w:rsidP="004A2AB6">
      <w:pPr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14:paraId="45828395" w14:textId="77777777" w:rsidR="00516242" w:rsidRDefault="00516242" w:rsidP="004A2AB6">
      <w:pPr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14:paraId="062F83F9" w14:textId="7C0DE084" w:rsidR="00F96D54" w:rsidRDefault="00F96D54" w:rsidP="00F96D54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Demonstração das Variações Patrimoniais</w:t>
      </w:r>
      <w:r w:rsidRPr="009F4FA9"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DVP</w:t>
      </w:r>
      <w:r w:rsidRPr="009F4FA9">
        <w:rPr>
          <w:rFonts w:ascii="Arial" w:hAnsi="Arial" w:cs="Arial"/>
          <w:b/>
          <w:bCs/>
          <w:sz w:val="24"/>
          <w:szCs w:val="24"/>
        </w:rPr>
        <w:t xml:space="preserve">) </w:t>
      </w:r>
    </w:p>
    <w:p w14:paraId="3358B826" w14:textId="77777777" w:rsidR="00F96D54" w:rsidRDefault="00F96D54" w:rsidP="004A2AB6">
      <w:pPr>
        <w:jc w:val="both"/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</w:pPr>
    </w:p>
    <w:p w14:paraId="48A8B243" w14:textId="77777777" w:rsidR="00F96D54" w:rsidRDefault="00F96D54" w:rsidP="004A2AB6">
      <w:pPr>
        <w:jc w:val="both"/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</w:pPr>
    </w:p>
    <w:p w14:paraId="3E090D29" w14:textId="7066A2D0" w:rsidR="00F96D54" w:rsidRPr="00585B04" w:rsidRDefault="00585B04" w:rsidP="004A2AB6">
      <w:pPr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585B04">
        <w:rPr>
          <w:rFonts w:ascii="Arial" w:hAnsi="Arial" w:cs="Arial"/>
          <w:sz w:val="24"/>
          <w:szCs w:val="24"/>
        </w:rPr>
        <w:t>Demonstração das Variações Patrimoniais (DVP) evidencia as alterações verificadas no patrimônio, resultantes ou independentes da execução orçamentária, e indica o resultado patrimonial do exercício.</w:t>
      </w:r>
    </w:p>
    <w:p w14:paraId="575B1148" w14:textId="6B469A92" w:rsidR="00F96D54" w:rsidRPr="00585B04" w:rsidRDefault="00585B04" w:rsidP="004A2AB6">
      <w:pPr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585B04">
        <w:rPr>
          <w:rFonts w:ascii="Arial" w:eastAsia="Times New Roman" w:hAnsi="Arial" w:cs="Arial"/>
          <w:sz w:val="24"/>
          <w:szCs w:val="24"/>
          <w:lang w:val="pt-PT" w:eastAsia="pt-BR"/>
        </w:rPr>
        <w:t>Segue abaixo a DVP de 2022 em comparação com 2021:</w:t>
      </w:r>
    </w:p>
    <w:p w14:paraId="640F45DB" w14:textId="77777777" w:rsidR="00585B04" w:rsidRDefault="00585B04" w:rsidP="004A2AB6">
      <w:pPr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tbl>
      <w:tblPr>
        <w:tblW w:w="10178" w:type="dxa"/>
        <w:tblInd w:w="-8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0"/>
        <w:gridCol w:w="1853"/>
        <w:gridCol w:w="1999"/>
      </w:tblGrid>
      <w:tr w:rsidR="00585B04" w:rsidRPr="00585B04" w14:paraId="5AE8A391" w14:textId="77777777" w:rsidTr="00585B04">
        <w:trPr>
          <w:trHeight w:val="304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0D2099A" w14:textId="77777777" w:rsidR="00585B04" w:rsidRPr="00585B04" w:rsidRDefault="00585B04" w:rsidP="00585B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CONTAS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4C73C60" w14:textId="77777777" w:rsidR="00585B04" w:rsidRPr="00585B04" w:rsidRDefault="00585B04" w:rsidP="00585B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2022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A640A37" w14:textId="77777777" w:rsidR="00585B04" w:rsidRPr="00585B04" w:rsidRDefault="00585B04" w:rsidP="00585B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2021</w:t>
            </w:r>
          </w:p>
        </w:tc>
      </w:tr>
      <w:tr w:rsidR="00585B04" w:rsidRPr="00585B04" w14:paraId="1DBDA48E" w14:textId="77777777" w:rsidTr="00585B04">
        <w:trPr>
          <w:trHeight w:val="304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bottom"/>
            <w:hideMark/>
          </w:tcPr>
          <w:p w14:paraId="29D7C55F" w14:textId="77777777" w:rsidR="00585B04" w:rsidRPr="00585B04" w:rsidRDefault="00585B04" w:rsidP="00585B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VARIAÇÕES PATRIMONIAIS AUMENTATIVAS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noWrap/>
            <w:vAlign w:val="bottom"/>
            <w:hideMark/>
          </w:tcPr>
          <w:p w14:paraId="55BBA33B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2.288.373.717,34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noWrap/>
            <w:vAlign w:val="bottom"/>
            <w:hideMark/>
          </w:tcPr>
          <w:p w14:paraId="1A71E07C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2.414.642.071,21</w:t>
            </w:r>
          </w:p>
        </w:tc>
      </w:tr>
      <w:tr w:rsidR="00585B04" w:rsidRPr="00585B04" w14:paraId="3B6C378A" w14:textId="77777777" w:rsidTr="00585B04">
        <w:trPr>
          <w:trHeight w:val="304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9536" w14:textId="77777777" w:rsidR="00585B04" w:rsidRPr="00585B04" w:rsidRDefault="00585B04" w:rsidP="00585B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color w:val="000000"/>
                <w:lang w:eastAsia="pt-BR"/>
              </w:rPr>
              <w:t>Exploração e Venda de Bens, Serviços e Direitos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EDFE1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6.995.258,94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F9B79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2.765.970,76</w:t>
            </w:r>
          </w:p>
        </w:tc>
      </w:tr>
      <w:tr w:rsidR="00585B04" w:rsidRPr="00585B04" w14:paraId="6DDD3D69" w14:textId="77777777" w:rsidTr="00585B04">
        <w:trPr>
          <w:trHeight w:val="304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8705" w14:textId="77777777" w:rsidR="00585B04" w:rsidRPr="00585B04" w:rsidRDefault="00585B04" w:rsidP="00585B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color w:val="000000"/>
                <w:lang w:eastAsia="pt-BR"/>
              </w:rPr>
              <w:t>Transferências e Delegações Recebidas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79526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2.213.349.167,74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18D7A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2.243.710.637,56</w:t>
            </w:r>
          </w:p>
        </w:tc>
      </w:tr>
      <w:tr w:rsidR="00585B04" w:rsidRPr="00585B04" w14:paraId="0F011195" w14:textId="77777777" w:rsidTr="00585B04">
        <w:trPr>
          <w:trHeight w:val="304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D8E9" w14:textId="77777777" w:rsidR="00585B04" w:rsidRPr="00585B04" w:rsidRDefault="00585B04" w:rsidP="00585B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color w:val="000000"/>
                <w:lang w:eastAsia="pt-BR"/>
              </w:rPr>
              <w:t>Valorização e Ganhos c/ Ativos e Desincorporação de Passivos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33CEF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62.077.058,36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571F1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163.333.115,40</w:t>
            </w:r>
          </w:p>
        </w:tc>
      </w:tr>
      <w:tr w:rsidR="00585B04" w:rsidRPr="00585B04" w14:paraId="76013147" w14:textId="77777777" w:rsidTr="00585B04">
        <w:trPr>
          <w:trHeight w:val="304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2B3D" w14:textId="77777777" w:rsidR="00585B04" w:rsidRPr="00585B04" w:rsidRDefault="00585B04" w:rsidP="00585B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color w:val="000000"/>
                <w:lang w:eastAsia="pt-BR"/>
              </w:rPr>
              <w:t>Outras Variações Patrimoniais Aumentativas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3A025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5.952.232,30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3953D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4.832.347,49</w:t>
            </w:r>
          </w:p>
        </w:tc>
      </w:tr>
      <w:tr w:rsidR="00585B04" w:rsidRPr="00585B04" w14:paraId="0D979DD4" w14:textId="77777777" w:rsidTr="00585B04">
        <w:trPr>
          <w:trHeight w:val="304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EA9DB"/>
            <w:noWrap/>
            <w:vAlign w:val="bottom"/>
            <w:hideMark/>
          </w:tcPr>
          <w:p w14:paraId="26CC7531" w14:textId="77777777" w:rsidR="00585B04" w:rsidRPr="00585B04" w:rsidRDefault="00585B04" w:rsidP="00585B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VARIAÇÕES PATRIMONIAIS DIMINUTIVAS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noWrap/>
            <w:vAlign w:val="bottom"/>
            <w:hideMark/>
          </w:tcPr>
          <w:p w14:paraId="0CB8B125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2.266.112.024,57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EA9DB"/>
            <w:noWrap/>
            <w:vAlign w:val="bottom"/>
            <w:hideMark/>
          </w:tcPr>
          <w:p w14:paraId="247091D7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2.323.737.053,11</w:t>
            </w:r>
          </w:p>
        </w:tc>
      </w:tr>
      <w:tr w:rsidR="00585B04" w:rsidRPr="00585B04" w14:paraId="5C96B72C" w14:textId="77777777" w:rsidTr="00585B04">
        <w:trPr>
          <w:trHeight w:val="304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94C0" w14:textId="77777777" w:rsidR="00585B04" w:rsidRPr="00585B04" w:rsidRDefault="00585B04" w:rsidP="00585B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color w:val="000000"/>
                <w:lang w:eastAsia="pt-BR"/>
              </w:rPr>
              <w:t>Pessoal e Encargos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D4F35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1.087.527.539,85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48CB5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1.146.793.708,28</w:t>
            </w:r>
          </w:p>
        </w:tc>
      </w:tr>
      <w:tr w:rsidR="00585B04" w:rsidRPr="00585B04" w14:paraId="235347FB" w14:textId="77777777" w:rsidTr="00585B04">
        <w:trPr>
          <w:trHeight w:val="304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EE66" w14:textId="77777777" w:rsidR="00585B04" w:rsidRPr="00585B04" w:rsidRDefault="00585B04" w:rsidP="00585B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color w:val="000000"/>
                <w:lang w:eastAsia="pt-BR"/>
              </w:rPr>
              <w:t xml:space="preserve">  Benefícios Previdenciários e Assistenciais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F899B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744.303.014,60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EF53E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723.616.146,02</w:t>
            </w:r>
          </w:p>
        </w:tc>
      </w:tr>
      <w:tr w:rsidR="00585B04" w:rsidRPr="00585B04" w14:paraId="76EF374D" w14:textId="77777777" w:rsidTr="00585B04">
        <w:trPr>
          <w:trHeight w:val="304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36C8" w14:textId="77777777" w:rsidR="00585B04" w:rsidRPr="00585B04" w:rsidRDefault="00585B04" w:rsidP="00585B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color w:val="000000"/>
                <w:lang w:eastAsia="pt-BR"/>
              </w:rPr>
              <w:t>Uso de Bens, Serviços e Consumo de Capital Fixo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B8541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80.495.484,74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3C5FD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81.091.568,15</w:t>
            </w:r>
          </w:p>
        </w:tc>
      </w:tr>
      <w:tr w:rsidR="00585B04" w:rsidRPr="00585B04" w14:paraId="3E2D8953" w14:textId="77777777" w:rsidTr="00585B04">
        <w:trPr>
          <w:trHeight w:val="304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6E3F" w14:textId="77777777" w:rsidR="00585B04" w:rsidRPr="00585B04" w:rsidRDefault="00585B04" w:rsidP="00585B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color w:val="000000"/>
                <w:lang w:eastAsia="pt-BR"/>
              </w:rPr>
              <w:t xml:space="preserve"> Variações Patrimoniais Diminutivas Financeiras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748AC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12.753,08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BA388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94.867,62</w:t>
            </w:r>
          </w:p>
        </w:tc>
      </w:tr>
      <w:tr w:rsidR="00585B04" w:rsidRPr="00585B04" w14:paraId="789B1AB9" w14:textId="77777777" w:rsidTr="00585B04">
        <w:trPr>
          <w:trHeight w:val="304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04CC" w14:textId="77777777" w:rsidR="00585B04" w:rsidRPr="00585B04" w:rsidRDefault="00585B04" w:rsidP="00585B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color w:val="000000"/>
                <w:lang w:eastAsia="pt-BR"/>
              </w:rPr>
              <w:t>Transferências e Delegações Concedidas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70988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243.940.401,84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59754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282.769.841,69</w:t>
            </w:r>
          </w:p>
        </w:tc>
      </w:tr>
      <w:tr w:rsidR="00585B04" w:rsidRPr="00585B04" w14:paraId="53D5BC46" w14:textId="77777777" w:rsidTr="00585B04">
        <w:trPr>
          <w:trHeight w:val="304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27A9" w14:textId="77777777" w:rsidR="00585B04" w:rsidRPr="00585B04" w:rsidRDefault="00585B04" w:rsidP="00585B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Desvalorização e Perda de Ativos e Incorporação de Passivos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7735C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49.469.011,03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158BB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26.632.738,33</w:t>
            </w:r>
          </w:p>
        </w:tc>
      </w:tr>
      <w:tr w:rsidR="00585B04" w:rsidRPr="00585B04" w14:paraId="06E560EE" w14:textId="77777777" w:rsidTr="00585B04">
        <w:trPr>
          <w:trHeight w:val="304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A810" w14:textId="77777777" w:rsidR="00585B04" w:rsidRPr="00585B04" w:rsidRDefault="00585B04" w:rsidP="00585B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color w:val="000000"/>
                <w:lang w:eastAsia="pt-BR"/>
              </w:rPr>
              <w:t>Tributárias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05776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3.504.786,00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8280D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2.970.479,25</w:t>
            </w:r>
          </w:p>
        </w:tc>
      </w:tr>
      <w:tr w:rsidR="00585B04" w:rsidRPr="00585B04" w14:paraId="263F1826" w14:textId="77777777" w:rsidTr="00585B04">
        <w:trPr>
          <w:trHeight w:val="304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34A6" w14:textId="77777777" w:rsidR="00585B04" w:rsidRPr="00585B04" w:rsidRDefault="00585B04" w:rsidP="00585B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color w:val="000000"/>
                <w:lang w:eastAsia="pt-BR"/>
              </w:rPr>
              <w:t>Outras Variações Patrimoniais Diminutivas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481E6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56.859.033,43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813DF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59.767.703,77</w:t>
            </w:r>
          </w:p>
        </w:tc>
      </w:tr>
      <w:tr w:rsidR="00585B04" w:rsidRPr="00585B04" w14:paraId="4D8E8FA1" w14:textId="77777777" w:rsidTr="00585B04">
        <w:trPr>
          <w:trHeight w:val="304"/>
        </w:trPr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D8E1DE1" w14:textId="77777777" w:rsidR="00585B04" w:rsidRPr="00585B04" w:rsidRDefault="00585B04" w:rsidP="00585B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RESULTADO PATRIMONIAL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01D23CB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22.261.692,77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8F30187" w14:textId="77777777" w:rsidR="00585B04" w:rsidRPr="00585B04" w:rsidRDefault="00585B04" w:rsidP="00585B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585B0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90.905.018,10</w:t>
            </w:r>
          </w:p>
        </w:tc>
      </w:tr>
    </w:tbl>
    <w:p w14:paraId="2C3CD8B8" w14:textId="77777777" w:rsidR="00CC27B7" w:rsidRPr="00836752" w:rsidRDefault="00CC27B7" w:rsidP="00CC27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36752">
        <w:rPr>
          <w:rFonts w:ascii="Arial" w:eastAsia="Times New Roman" w:hAnsi="Arial" w:cs="Arial"/>
          <w:sz w:val="24"/>
          <w:szCs w:val="24"/>
          <w:lang w:eastAsia="pt-BR"/>
        </w:rPr>
        <w:t xml:space="preserve">Fonte: </w:t>
      </w:r>
      <w:proofErr w:type="spellStart"/>
      <w:r w:rsidRPr="00836752">
        <w:rPr>
          <w:rFonts w:ascii="Arial" w:eastAsia="Times New Roman" w:hAnsi="Arial" w:cs="Arial"/>
          <w:sz w:val="24"/>
          <w:szCs w:val="24"/>
          <w:lang w:eastAsia="pt-BR"/>
        </w:rPr>
        <w:t>SiafiWeb</w:t>
      </w:r>
      <w:proofErr w:type="spellEnd"/>
    </w:p>
    <w:p w14:paraId="771C8BE4" w14:textId="77777777" w:rsidR="00F96D54" w:rsidRDefault="00F96D54" w:rsidP="004A2AB6">
      <w:pPr>
        <w:jc w:val="both"/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</w:pPr>
    </w:p>
    <w:p w14:paraId="00CEF114" w14:textId="77777777" w:rsidR="00F96D54" w:rsidRDefault="00F96D54" w:rsidP="004A2AB6">
      <w:pPr>
        <w:jc w:val="both"/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</w:pPr>
    </w:p>
    <w:p w14:paraId="7E8E83BC" w14:textId="77777777" w:rsidR="00F96D54" w:rsidRDefault="00F96D54" w:rsidP="004A2AB6">
      <w:pPr>
        <w:jc w:val="both"/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</w:pPr>
    </w:p>
    <w:p w14:paraId="6751461C" w14:textId="77777777" w:rsidR="00F96D54" w:rsidRDefault="00F96D54" w:rsidP="004A2AB6">
      <w:pPr>
        <w:jc w:val="both"/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</w:pPr>
    </w:p>
    <w:p w14:paraId="5278EBC5" w14:textId="77777777" w:rsidR="00F96D54" w:rsidRDefault="00F96D54" w:rsidP="004A2AB6">
      <w:pPr>
        <w:jc w:val="both"/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</w:pPr>
    </w:p>
    <w:p w14:paraId="1E3896E5" w14:textId="77777777" w:rsidR="00F96D54" w:rsidRDefault="00F96D54" w:rsidP="004A2AB6">
      <w:pPr>
        <w:jc w:val="both"/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</w:pPr>
    </w:p>
    <w:p w14:paraId="65C454D4" w14:textId="77777777" w:rsidR="00F96D54" w:rsidRDefault="00F96D54" w:rsidP="004A2AB6">
      <w:pPr>
        <w:jc w:val="both"/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</w:pPr>
    </w:p>
    <w:p w14:paraId="20EF66FD" w14:textId="77777777" w:rsidR="00F96D54" w:rsidRDefault="00F96D54" w:rsidP="004A2AB6">
      <w:pPr>
        <w:jc w:val="both"/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</w:pPr>
    </w:p>
    <w:p w14:paraId="3702E4C1" w14:textId="77777777" w:rsidR="00F96D54" w:rsidRDefault="00F96D54" w:rsidP="004A2AB6">
      <w:pPr>
        <w:jc w:val="both"/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</w:pPr>
    </w:p>
    <w:p w14:paraId="1B4F01A9" w14:textId="77777777" w:rsidR="00F96D54" w:rsidRDefault="00F96D54" w:rsidP="004A2AB6">
      <w:pPr>
        <w:jc w:val="both"/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</w:pPr>
    </w:p>
    <w:p w14:paraId="23FFCD26" w14:textId="77777777" w:rsidR="00F96D54" w:rsidRDefault="00F96D54" w:rsidP="004A2AB6">
      <w:pPr>
        <w:jc w:val="both"/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</w:pPr>
    </w:p>
    <w:p w14:paraId="3CD2C361" w14:textId="77777777" w:rsidR="00F96D54" w:rsidRDefault="00F96D54" w:rsidP="004A2AB6">
      <w:pPr>
        <w:jc w:val="both"/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</w:pPr>
    </w:p>
    <w:p w14:paraId="5941E200" w14:textId="2171F87B" w:rsidR="00516242" w:rsidRPr="00867136" w:rsidRDefault="00867136" w:rsidP="004A2AB6">
      <w:pPr>
        <w:jc w:val="both"/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</w:pPr>
      <w:r w:rsidRPr="00867136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 xml:space="preserve">Quantidade </w:t>
      </w:r>
      <w:r w:rsidR="00516242" w:rsidRPr="00867136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 xml:space="preserve">de servidores </w:t>
      </w:r>
      <w:r w:rsidRPr="00867136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da</w:t>
      </w:r>
      <w:r w:rsidR="00516242" w:rsidRPr="00867136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 xml:space="preserve"> Contabilidade e </w:t>
      </w:r>
      <w:r w:rsidRPr="00867136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Finanças</w:t>
      </w:r>
      <w:r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:</w:t>
      </w:r>
    </w:p>
    <w:p w14:paraId="07569FF9" w14:textId="77777777" w:rsidR="00867136" w:rsidRDefault="00867136" w:rsidP="004A2AB6">
      <w:pPr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tbl>
      <w:tblPr>
        <w:tblpPr w:leftFromText="141" w:rightFromText="141" w:vertAnchor="text" w:horzAnchor="margin" w:tblpXSpec="center" w:tblpY="-75"/>
        <w:tblW w:w="10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1029"/>
        <w:gridCol w:w="1430"/>
        <w:gridCol w:w="1524"/>
        <w:gridCol w:w="1497"/>
        <w:gridCol w:w="1330"/>
        <w:gridCol w:w="1388"/>
        <w:gridCol w:w="1389"/>
      </w:tblGrid>
      <w:tr w:rsidR="00867136" w:rsidRPr="00735AB0" w14:paraId="420E91D6" w14:textId="77777777" w:rsidTr="00867136">
        <w:trPr>
          <w:gridAfter w:val="1"/>
          <w:wAfter w:w="1389" w:type="dxa"/>
          <w:trHeight w:val="304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F829" w14:textId="77777777" w:rsidR="00867136" w:rsidRPr="00735AB0" w:rsidRDefault="00867136" w:rsidP="00867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SETORES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32A5E" w14:textId="77777777" w:rsidR="00867136" w:rsidRPr="00735AB0" w:rsidRDefault="00867136" w:rsidP="00867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CARGOS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1A16" w14:textId="77777777" w:rsidR="00867136" w:rsidRPr="00735AB0" w:rsidRDefault="00867136" w:rsidP="00867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867136" w:rsidRPr="00735AB0" w14:paraId="4059298E" w14:textId="77777777" w:rsidTr="00867136">
        <w:trPr>
          <w:gridAfter w:val="1"/>
          <w:wAfter w:w="1389" w:type="dxa"/>
          <w:trHeight w:val="450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DA266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ECDB" w14:textId="77777777" w:rsidR="00867136" w:rsidRPr="00735AB0" w:rsidRDefault="00867136" w:rsidP="00867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8A8B" w14:textId="77777777" w:rsidR="00867136" w:rsidRPr="00735AB0" w:rsidRDefault="00867136" w:rsidP="00867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A913" w14:textId="77777777" w:rsidR="00867136" w:rsidRPr="00735AB0" w:rsidRDefault="00867136" w:rsidP="00867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Assistente em administração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08AE" w14:textId="77777777" w:rsidR="00867136" w:rsidRPr="00735AB0" w:rsidRDefault="00867136" w:rsidP="00867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Auxiliar em administração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DFB1" w14:textId="77777777" w:rsidR="00867136" w:rsidRPr="00735AB0" w:rsidRDefault="00867136" w:rsidP="00867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Técnico em secretariado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75307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67136" w:rsidRPr="00735AB0" w14:paraId="13166049" w14:textId="77777777" w:rsidTr="00867136">
        <w:trPr>
          <w:trHeight w:val="289"/>
        </w:trPr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C09A6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AEFB5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ADAC2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6FC73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F958E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930E5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57F88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630A" w14:textId="77777777" w:rsidR="00867136" w:rsidRPr="00735AB0" w:rsidRDefault="00867136" w:rsidP="00867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67136" w:rsidRPr="00735AB0" w14:paraId="0EE80013" w14:textId="77777777" w:rsidTr="00867136">
        <w:trPr>
          <w:trHeight w:val="304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8857" w14:textId="77777777" w:rsidR="00867136" w:rsidRPr="00735AB0" w:rsidRDefault="00867136" w:rsidP="00867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357CF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C70BF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E3357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4764A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A94A7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A51B" w14:textId="77777777" w:rsidR="00867136" w:rsidRPr="00735AB0" w:rsidRDefault="00867136" w:rsidP="00867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9" w:type="dxa"/>
            <w:vAlign w:val="center"/>
            <w:hideMark/>
          </w:tcPr>
          <w:p w14:paraId="789BDFDC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67136" w:rsidRPr="00735AB0" w14:paraId="4BE6907A" w14:textId="77777777" w:rsidTr="00867136">
        <w:trPr>
          <w:trHeight w:val="304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83D5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Coordenação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85A7" w14:textId="77777777" w:rsidR="00867136" w:rsidRPr="00735AB0" w:rsidRDefault="00867136" w:rsidP="00867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3A80" w14:textId="77777777" w:rsidR="00867136" w:rsidRPr="00735AB0" w:rsidRDefault="00867136" w:rsidP="00867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0A61" w14:textId="77777777" w:rsidR="00867136" w:rsidRPr="00735AB0" w:rsidRDefault="00867136" w:rsidP="00867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08D4" w14:textId="77777777" w:rsidR="00867136" w:rsidRPr="00735AB0" w:rsidRDefault="00867136" w:rsidP="00867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5B79" w14:textId="77777777" w:rsidR="00867136" w:rsidRPr="00735AB0" w:rsidRDefault="00867136" w:rsidP="00867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FC1D" w14:textId="77777777" w:rsidR="00867136" w:rsidRPr="00735AB0" w:rsidRDefault="00867136" w:rsidP="00867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89" w:type="dxa"/>
            <w:vAlign w:val="center"/>
            <w:hideMark/>
          </w:tcPr>
          <w:p w14:paraId="4AF59F21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67136" w:rsidRPr="00735AB0" w14:paraId="2D7F84A7" w14:textId="77777777" w:rsidTr="00867136">
        <w:trPr>
          <w:trHeight w:val="289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69D7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DAC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4EEC" w14:textId="77777777" w:rsidR="00867136" w:rsidRPr="00735AB0" w:rsidRDefault="00867136" w:rsidP="00867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8A33" w14:textId="77777777" w:rsidR="00867136" w:rsidRPr="00735AB0" w:rsidRDefault="00867136" w:rsidP="00867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B7E6" w14:textId="77777777" w:rsidR="00867136" w:rsidRPr="00735AB0" w:rsidRDefault="00867136" w:rsidP="00867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9F37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BE59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2D1C" w14:textId="77777777" w:rsidR="00867136" w:rsidRPr="00735AB0" w:rsidRDefault="00867136" w:rsidP="00867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389" w:type="dxa"/>
            <w:vAlign w:val="center"/>
            <w:hideMark/>
          </w:tcPr>
          <w:p w14:paraId="1E3D374F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67136" w:rsidRPr="00735AB0" w14:paraId="0987BF3B" w14:textId="77777777" w:rsidTr="00867136">
        <w:trPr>
          <w:trHeight w:val="289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C1EE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DAF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70F8" w14:textId="77777777" w:rsidR="00867136" w:rsidRPr="00735AB0" w:rsidRDefault="00867136" w:rsidP="00867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CC10" w14:textId="77777777" w:rsidR="00867136" w:rsidRPr="00735AB0" w:rsidRDefault="00867136" w:rsidP="00867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3FED" w14:textId="77777777" w:rsidR="00867136" w:rsidRPr="00735AB0" w:rsidRDefault="00867136" w:rsidP="00867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5731" w14:textId="77777777" w:rsidR="00867136" w:rsidRPr="00735AB0" w:rsidRDefault="00867136" w:rsidP="00867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C273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92D7" w14:textId="77777777" w:rsidR="00867136" w:rsidRPr="00735AB0" w:rsidRDefault="00867136" w:rsidP="00867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389" w:type="dxa"/>
            <w:vAlign w:val="center"/>
            <w:hideMark/>
          </w:tcPr>
          <w:p w14:paraId="3F570C82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67136" w:rsidRPr="00735AB0" w14:paraId="6DCFAB9C" w14:textId="77777777" w:rsidTr="00867136">
        <w:trPr>
          <w:trHeight w:val="289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F268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DC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4D8E" w14:textId="77777777" w:rsidR="00867136" w:rsidRPr="00735AB0" w:rsidRDefault="00867136" w:rsidP="00867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2F42" w14:textId="77777777" w:rsidR="00867136" w:rsidRPr="00735AB0" w:rsidRDefault="00867136" w:rsidP="00867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B552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C30F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0019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9D6B" w14:textId="77777777" w:rsidR="00867136" w:rsidRPr="00735AB0" w:rsidRDefault="00867136" w:rsidP="00867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389" w:type="dxa"/>
            <w:vAlign w:val="center"/>
            <w:hideMark/>
          </w:tcPr>
          <w:p w14:paraId="044BDFA7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67136" w:rsidRPr="00735AB0" w14:paraId="2EAEE6B7" w14:textId="77777777" w:rsidTr="00867136">
        <w:trPr>
          <w:trHeight w:val="289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6460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Secretaria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9582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85E0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C0B5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D3E4" w14:textId="77777777" w:rsidR="00867136" w:rsidRPr="00735AB0" w:rsidRDefault="00867136" w:rsidP="00867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C0A6" w14:textId="77777777" w:rsidR="00867136" w:rsidRPr="00735AB0" w:rsidRDefault="00867136" w:rsidP="00867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6C94" w14:textId="77777777" w:rsidR="00867136" w:rsidRPr="00735AB0" w:rsidRDefault="00867136" w:rsidP="008671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389" w:type="dxa"/>
            <w:vAlign w:val="center"/>
            <w:hideMark/>
          </w:tcPr>
          <w:p w14:paraId="27096686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867136" w:rsidRPr="00735AB0" w14:paraId="771C2B45" w14:textId="77777777" w:rsidTr="00867136">
        <w:trPr>
          <w:trHeight w:val="304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D1A0" w14:textId="77777777" w:rsidR="00867136" w:rsidRPr="00735AB0" w:rsidRDefault="00867136" w:rsidP="00867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A41E" w14:textId="77777777" w:rsidR="00867136" w:rsidRPr="00735AB0" w:rsidRDefault="00867136" w:rsidP="008671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E732" w14:textId="77777777" w:rsidR="00867136" w:rsidRPr="00735AB0" w:rsidRDefault="00867136" w:rsidP="008671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29E6" w14:textId="77777777" w:rsidR="00867136" w:rsidRPr="00735AB0" w:rsidRDefault="00867136" w:rsidP="008671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5A5C" w14:textId="77777777" w:rsidR="00867136" w:rsidRPr="00735AB0" w:rsidRDefault="00867136" w:rsidP="008671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544A" w14:textId="77777777" w:rsidR="00867136" w:rsidRPr="00735AB0" w:rsidRDefault="00867136" w:rsidP="008671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5EB1" w14:textId="77777777" w:rsidR="00867136" w:rsidRPr="00735AB0" w:rsidRDefault="00867136" w:rsidP="008671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35A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389" w:type="dxa"/>
            <w:vAlign w:val="center"/>
            <w:hideMark/>
          </w:tcPr>
          <w:p w14:paraId="22CB94E7" w14:textId="77777777" w:rsidR="00867136" w:rsidRPr="00735AB0" w:rsidRDefault="00867136" w:rsidP="00867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2AD1F4DA" w14:textId="77777777" w:rsidR="00867136" w:rsidRDefault="00867136" w:rsidP="004A2AB6">
      <w:pPr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14:paraId="78DD71C4" w14:textId="77777777" w:rsidR="00867136" w:rsidRPr="00867136" w:rsidRDefault="00867136" w:rsidP="0086713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67136">
        <w:rPr>
          <w:rFonts w:ascii="Arial" w:hAnsi="Arial" w:cs="Arial"/>
          <w:b/>
          <w:bCs/>
          <w:sz w:val="24"/>
          <w:szCs w:val="24"/>
        </w:rPr>
        <w:t>Responsáveis pela Contabilidade:</w:t>
      </w:r>
    </w:p>
    <w:p w14:paraId="62625C38" w14:textId="77777777" w:rsidR="00867136" w:rsidRPr="00867136" w:rsidRDefault="00867136" w:rsidP="0086713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278BF76" w14:textId="77777777" w:rsidR="00867136" w:rsidRPr="00867136" w:rsidRDefault="00867136" w:rsidP="00867136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7136">
        <w:rPr>
          <w:rFonts w:ascii="Arial" w:hAnsi="Arial" w:cs="Arial"/>
          <w:sz w:val="24"/>
          <w:szCs w:val="24"/>
        </w:rPr>
        <w:t xml:space="preserve">Ana Patrícia Guedes de Souza – Contadora responsável </w:t>
      </w:r>
    </w:p>
    <w:p w14:paraId="1D55FA05" w14:textId="77777777" w:rsidR="00867136" w:rsidRPr="00867136" w:rsidRDefault="00867136" w:rsidP="00867136">
      <w:pPr>
        <w:pStyle w:val="Pargrafoda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67136">
        <w:rPr>
          <w:rFonts w:ascii="Arial" w:hAnsi="Arial" w:cs="Arial"/>
          <w:sz w:val="24"/>
          <w:szCs w:val="24"/>
        </w:rPr>
        <w:t xml:space="preserve">Rubens Alberto Falcão Ferreira – Coordenador da CCF </w:t>
      </w:r>
    </w:p>
    <w:p w14:paraId="066557E1" w14:textId="77777777" w:rsidR="00867136" w:rsidRPr="00867136" w:rsidRDefault="00867136" w:rsidP="0086713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E8FFD8" w14:textId="77777777" w:rsidR="00867136" w:rsidRPr="001F3DC8" w:rsidRDefault="00867136" w:rsidP="0086713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ABE8A6" w14:textId="0061EF5D" w:rsidR="00867136" w:rsidRPr="001F3DC8" w:rsidRDefault="00867136" w:rsidP="0086713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F3DC8">
        <w:rPr>
          <w:rFonts w:ascii="Arial" w:hAnsi="Arial" w:cs="Arial"/>
          <w:b/>
          <w:bCs/>
          <w:sz w:val="24"/>
          <w:szCs w:val="24"/>
        </w:rPr>
        <w:t>Competências e Responsabilidade CC</w:t>
      </w:r>
      <w:r>
        <w:rPr>
          <w:rFonts w:ascii="Arial" w:hAnsi="Arial" w:cs="Arial"/>
          <w:b/>
          <w:bCs/>
          <w:sz w:val="24"/>
          <w:szCs w:val="24"/>
        </w:rPr>
        <w:t>F:</w:t>
      </w:r>
    </w:p>
    <w:p w14:paraId="6708E06D" w14:textId="77777777" w:rsidR="00867136" w:rsidRPr="001F3DC8" w:rsidRDefault="00867136" w:rsidP="00867136">
      <w:pPr>
        <w:jc w:val="both"/>
        <w:rPr>
          <w:rFonts w:ascii="Arial" w:hAnsi="Arial" w:cs="Arial"/>
          <w:sz w:val="24"/>
          <w:szCs w:val="24"/>
        </w:rPr>
      </w:pPr>
    </w:p>
    <w:p w14:paraId="5A96914F" w14:textId="77777777" w:rsidR="00867136" w:rsidRPr="001F3DC8" w:rsidRDefault="00867136" w:rsidP="0086713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3DC8">
        <w:rPr>
          <w:rFonts w:ascii="Arial" w:hAnsi="Arial" w:cs="Arial"/>
          <w:sz w:val="24"/>
          <w:szCs w:val="24"/>
        </w:rPr>
        <w:t>Controle dos recursos financeiros recebidos através de repasses e sub-repasses (descentralizações), inclusive das unidades gestoras descentralizadas;</w:t>
      </w:r>
    </w:p>
    <w:p w14:paraId="5D516A20" w14:textId="77777777" w:rsidR="00867136" w:rsidRPr="001F3DC8" w:rsidRDefault="00867136" w:rsidP="0086713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7613315" w14:textId="77777777" w:rsidR="00867136" w:rsidRPr="001F3DC8" w:rsidRDefault="00867136" w:rsidP="0086713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3DC8">
        <w:rPr>
          <w:rFonts w:ascii="Arial" w:hAnsi="Arial" w:cs="Arial"/>
          <w:sz w:val="24"/>
          <w:szCs w:val="24"/>
        </w:rPr>
        <w:t>Análise de todos os processos encaminhados para pagamento (liquidação da despesa), no que se refere a veracidade das informações, formalidades e aspectos legais;</w:t>
      </w:r>
    </w:p>
    <w:p w14:paraId="06F15DDC" w14:textId="77777777" w:rsidR="00867136" w:rsidRPr="001F3DC8" w:rsidRDefault="00867136" w:rsidP="0086713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4AA815B" w14:textId="77777777" w:rsidR="00867136" w:rsidRPr="001F3DC8" w:rsidRDefault="00867136" w:rsidP="0086713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3DC8">
        <w:rPr>
          <w:rFonts w:ascii="Arial" w:hAnsi="Arial" w:cs="Arial"/>
          <w:sz w:val="24"/>
          <w:szCs w:val="24"/>
        </w:rPr>
        <w:t>Análise tributária, quanto às retenções dos tributos na fonte referente aos pagamentos dos fornecedores de bens e serviços;</w:t>
      </w:r>
    </w:p>
    <w:p w14:paraId="4C31885A" w14:textId="77777777" w:rsidR="00867136" w:rsidRPr="001F3DC8" w:rsidRDefault="00867136" w:rsidP="0086713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2348CE1F" w14:textId="77777777" w:rsidR="00867136" w:rsidRPr="001F3DC8" w:rsidRDefault="00867136" w:rsidP="0086713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3DC8">
        <w:rPr>
          <w:rFonts w:ascii="Arial" w:hAnsi="Arial" w:cs="Arial"/>
          <w:sz w:val="24"/>
          <w:szCs w:val="24"/>
        </w:rPr>
        <w:t>Liquidação (apropriação) e pagamento no Sistema Integrado de Administração Financeira do Governo Federal – SIAFI de todas as despesas de sua competência (bolsas e auxílio estudantis, materiais, bens, serviços e outros);</w:t>
      </w:r>
    </w:p>
    <w:p w14:paraId="3B18448B" w14:textId="77777777" w:rsidR="00867136" w:rsidRPr="001F3DC8" w:rsidRDefault="00867136" w:rsidP="00867136">
      <w:pPr>
        <w:pStyle w:val="PargrafodaLista"/>
        <w:rPr>
          <w:rFonts w:ascii="Arial" w:hAnsi="Arial" w:cs="Arial"/>
          <w:sz w:val="24"/>
          <w:szCs w:val="24"/>
        </w:rPr>
      </w:pPr>
    </w:p>
    <w:p w14:paraId="2D0A54B3" w14:textId="77777777" w:rsidR="00867136" w:rsidRPr="001F3DC8" w:rsidRDefault="00867136" w:rsidP="0086713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3DC8">
        <w:rPr>
          <w:rFonts w:ascii="Arial" w:hAnsi="Arial" w:cs="Arial"/>
          <w:sz w:val="24"/>
          <w:szCs w:val="24"/>
        </w:rPr>
        <w:t>Empenho, liquidação e pagamento no SIAFI da Folha de Pessoal da Instituição;</w:t>
      </w:r>
    </w:p>
    <w:p w14:paraId="00602675" w14:textId="77777777" w:rsidR="00867136" w:rsidRPr="001F3DC8" w:rsidRDefault="00867136" w:rsidP="00867136">
      <w:pPr>
        <w:pStyle w:val="PargrafodaLista"/>
        <w:rPr>
          <w:rFonts w:ascii="Arial" w:hAnsi="Arial" w:cs="Arial"/>
          <w:sz w:val="24"/>
          <w:szCs w:val="24"/>
        </w:rPr>
      </w:pPr>
    </w:p>
    <w:p w14:paraId="03AFF84D" w14:textId="77777777" w:rsidR="00867136" w:rsidRPr="001F3DC8" w:rsidRDefault="00867136" w:rsidP="0086713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3DC8">
        <w:rPr>
          <w:rFonts w:ascii="Arial" w:hAnsi="Arial" w:cs="Arial"/>
          <w:sz w:val="24"/>
          <w:szCs w:val="24"/>
        </w:rPr>
        <w:t>Regularização das contas contábeis (ordens bancárias devolvidas, valores devolvidos à Instituição através de GRU, almoxarifado, reclassificações</w:t>
      </w:r>
      <w:r>
        <w:rPr>
          <w:rFonts w:ascii="Arial" w:hAnsi="Arial" w:cs="Arial"/>
          <w:sz w:val="24"/>
          <w:szCs w:val="24"/>
        </w:rPr>
        <w:t>,</w:t>
      </w:r>
      <w:r w:rsidRPr="001F3DC8">
        <w:rPr>
          <w:rFonts w:ascii="Arial" w:hAnsi="Arial" w:cs="Arial"/>
          <w:sz w:val="24"/>
          <w:szCs w:val="24"/>
        </w:rPr>
        <w:t xml:space="preserve"> entre outras);</w:t>
      </w:r>
    </w:p>
    <w:p w14:paraId="10D55262" w14:textId="77777777" w:rsidR="00867136" w:rsidRPr="001F3DC8" w:rsidRDefault="00867136" w:rsidP="00867136">
      <w:pPr>
        <w:pStyle w:val="PargrafodaLista"/>
        <w:rPr>
          <w:rFonts w:ascii="Arial" w:hAnsi="Arial" w:cs="Arial"/>
          <w:sz w:val="24"/>
          <w:szCs w:val="24"/>
        </w:rPr>
      </w:pPr>
    </w:p>
    <w:p w14:paraId="62C6221F" w14:textId="77777777" w:rsidR="00867136" w:rsidRPr="001F3DC8" w:rsidRDefault="00867136" w:rsidP="0086713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3DC8">
        <w:rPr>
          <w:rFonts w:ascii="Arial" w:hAnsi="Arial" w:cs="Arial"/>
          <w:sz w:val="24"/>
          <w:szCs w:val="24"/>
        </w:rPr>
        <w:t>Controle da Arrecadação Própria e Restituições da Receita Própria;</w:t>
      </w:r>
    </w:p>
    <w:p w14:paraId="6617F2D6" w14:textId="77777777" w:rsidR="00867136" w:rsidRPr="001F3DC8" w:rsidRDefault="00867136" w:rsidP="00867136">
      <w:pPr>
        <w:pStyle w:val="PargrafodaLista"/>
        <w:rPr>
          <w:rFonts w:ascii="Arial" w:hAnsi="Arial" w:cs="Arial"/>
          <w:sz w:val="24"/>
          <w:szCs w:val="24"/>
        </w:rPr>
      </w:pPr>
    </w:p>
    <w:p w14:paraId="3FCBEFBB" w14:textId="77777777" w:rsidR="00867136" w:rsidRPr="001F3DC8" w:rsidRDefault="00867136" w:rsidP="0086713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3DC8">
        <w:rPr>
          <w:rFonts w:ascii="Arial" w:hAnsi="Arial" w:cs="Arial"/>
          <w:sz w:val="24"/>
          <w:szCs w:val="24"/>
        </w:rPr>
        <w:t>Análise das Prestações de Contas de Convênios e congêneres, firmados pela UFPB, na condição de concedente;</w:t>
      </w:r>
    </w:p>
    <w:p w14:paraId="0DB8B9AB" w14:textId="77777777" w:rsidR="00867136" w:rsidRPr="001F3DC8" w:rsidRDefault="00867136" w:rsidP="0086713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2B79BB5" w14:textId="77777777" w:rsidR="00867136" w:rsidRPr="001F3DC8" w:rsidRDefault="00867136" w:rsidP="0086713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3DC8">
        <w:rPr>
          <w:rFonts w:ascii="Arial" w:hAnsi="Arial" w:cs="Arial"/>
          <w:sz w:val="24"/>
          <w:szCs w:val="24"/>
        </w:rPr>
        <w:t xml:space="preserve">Confecção das Prestações de Contas de </w:t>
      </w:r>
      <w:proofErr w:type="spellStart"/>
      <w:r w:rsidRPr="001F3DC8">
        <w:rPr>
          <w:rFonts w:ascii="Arial" w:hAnsi="Arial" w:cs="Arial"/>
          <w:sz w:val="24"/>
          <w:szCs w:val="24"/>
        </w:rPr>
        <w:t>TED’s</w:t>
      </w:r>
      <w:proofErr w:type="spellEnd"/>
      <w:r w:rsidRPr="001F3DC8">
        <w:rPr>
          <w:rFonts w:ascii="Arial" w:hAnsi="Arial" w:cs="Arial"/>
          <w:sz w:val="24"/>
          <w:szCs w:val="24"/>
        </w:rPr>
        <w:t xml:space="preserve"> e Convênios onde a UFPB figura como convenente;</w:t>
      </w:r>
    </w:p>
    <w:p w14:paraId="58DD2646" w14:textId="77777777" w:rsidR="00867136" w:rsidRPr="001F3DC8" w:rsidRDefault="00867136" w:rsidP="00867136">
      <w:pPr>
        <w:pStyle w:val="PargrafodaLista"/>
        <w:rPr>
          <w:rFonts w:ascii="Arial" w:hAnsi="Arial" w:cs="Arial"/>
          <w:sz w:val="24"/>
          <w:szCs w:val="24"/>
        </w:rPr>
      </w:pPr>
    </w:p>
    <w:p w14:paraId="37123C20" w14:textId="77777777" w:rsidR="00867136" w:rsidRPr="001F3DC8" w:rsidRDefault="00867136" w:rsidP="0086713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3DC8">
        <w:rPr>
          <w:rFonts w:ascii="Arial" w:hAnsi="Arial" w:cs="Arial"/>
          <w:sz w:val="24"/>
          <w:szCs w:val="24"/>
        </w:rPr>
        <w:t>Cadastro de senhas e usuários no SIAFI/SIA</w:t>
      </w:r>
      <w:r>
        <w:rPr>
          <w:rFonts w:ascii="Arial" w:hAnsi="Arial" w:cs="Arial"/>
          <w:sz w:val="24"/>
          <w:szCs w:val="24"/>
        </w:rPr>
        <w:t>SG</w:t>
      </w:r>
      <w:r w:rsidRPr="001F3DC8">
        <w:rPr>
          <w:rFonts w:ascii="Arial" w:hAnsi="Arial" w:cs="Arial"/>
          <w:sz w:val="24"/>
          <w:szCs w:val="24"/>
        </w:rPr>
        <w:t>;</w:t>
      </w:r>
    </w:p>
    <w:p w14:paraId="5199694C" w14:textId="77777777" w:rsidR="00867136" w:rsidRPr="001F3DC8" w:rsidRDefault="00867136" w:rsidP="0086713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5696201" w14:textId="77777777" w:rsidR="00867136" w:rsidRPr="001F3DC8" w:rsidRDefault="00867136" w:rsidP="0086713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3DC8">
        <w:rPr>
          <w:rFonts w:ascii="Arial" w:hAnsi="Arial" w:cs="Arial"/>
          <w:sz w:val="24"/>
          <w:szCs w:val="24"/>
        </w:rPr>
        <w:t>Elaboração e envio da GFIP e da DIRF;</w:t>
      </w:r>
    </w:p>
    <w:p w14:paraId="36E1683A" w14:textId="77777777" w:rsidR="00867136" w:rsidRPr="001F3DC8" w:rsidRDefault="00867136" w:rsidP="00867136">
      <w:pPr>
        <w:pStyle w:val="PargrafodaLista"/>
        <w:rPr>
          <w:rFonts w:ascii="Arial" w:hAnsi="Arial" w:cs="Arial"/>
          <w:sz w:val="24"/>
          <w:szCs w:val="24"/>
        </w:rPr>
      </w:pPr>
    </w:p>
    <w:p w14:paraId="006844D4" w14:textId="77777777" w:rsidR="00867136" w:rsidRPr="001F3DC8" w:rsidRDefault="00867136" w:rsidP="0086713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3DC8">
        <w:rPr>
          <w:rFonts w:ascii="Arial" w:hAnsi="Arial" w:cs="Arial"/>
          <w:sz w:val="24"/>
          <w:szCs w:val="24"/>
        </w:rPr>
        <w:t>Elaboração e envio da EFD-REINF e DCTF WEB;</w:t>
      </w:r>
    </w:p>
    <w:p w14:paraId="3B251EA1" w14:textId="77777777" w:rsidR="00867136" w:rsidRPr="001F3DC8" w:rsidRDefault="00867136" w:rsidP="00867136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A14E760" w14:textId="77777777" w:rsidR="00867136" w:rsidRPr="001F3DC8" w:rsidRDefault="00867136" w:rsidP="0086713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3DC8">
        <w:rPr>
          <w:rFonts w:ascii="Arial" w:hAnsi="Arial" w:cs="Arial"/>
          <w:sz w:val="24"/>
          <w:szCs w:val="24"/>
        </w:rPr>
        <w:t>Conformidade de Gestão e Conformidade Contábil;</w:t>
      </w:r>
    </w:p>
    <w:p w14:paraId="2EFD0A6B" w14:textId="77777777" w:rsidR="00867136" w:rsidRPr="001F3DC8" w:rsidRDefault="00867136" w:rsidP="00867136">
      <w:pPr>
        <w:pStyle w:val="PargrafodaLista"/>
        <w:rPr>
          <w:rFonts w:ascii="Arial" w:hAnsi="Arial" w:cs="Arial"/>
          <w:sz w:val="24"/>
          <w:szCs w:val="24"/>
        </w:rPr>
      </w:pPr>
    </w:p>
    <w:p w14:paraId="3C857BB8" w14:textId="77777777" w:rsidR="00867136" w:rsidRPr="001F3DC8" w:rsidRDefault="00867136" w:rsidP="0086713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3DC8">
        <w:rPr>
          <w:rFonts w:ascii="Arial" w:hAnsi="Arial" w:cs="Arial"/>
          <w:sz w:val="24"/>
          <w:szCs w:val="24"/>
        </w:rPr>
        <w:t>Inclusão de devedores no CADIN – Cadastro Informativo de Créditos não Quitados do Setor Público Federal;</w:t>
      </w:r>
    </w:p>
    <w:p w14:paraId="67E81B4E" w14:textId="77777777" w:rsidR="00867136" w:rsidRPr="001F3DC8" w:rsidRDefault="00867136" w:rsidP="00867136">
      <w:pPr>
        <w:pStyle w:val="PargrafodaLista"/>
        <w:rPr>
          <w:rFonts w:ascii="Arial" w:hAnsi="Arial" w:cs="Arial"/>
          <w:sz w:val="24"/>
          <w:szCs w:val="24"/>
        </w:rPr>
      </w:pPr>
    </w:p>
    <w:p w14:paraId="4E6C7AE4" w14:textId="77777777" w:rsidR="00867136" w:rsidRPr="001F3DC8" w:rsidRDefault="00867136" w:rsidP="0086713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F3DC8">
        <w:rPr>
          <w:rFonts w:ascii="Arial" w:hAnsi="Arial" w:cs="Arial"/>
          <w:sz w:val="24"/>
          <w:szCs w:val="24"/>
        </w:rPr>
        <w:t>Elaboração dos Relatórios Contábeis trimestrais e anual (composto das Demonstrações Contábeis, Notas Explicativas e Declaração do Contador);</w:t>
      </w:r>
    </w:p>
    <w:p w14:paraId="0B7F7C69" w14:textId="77777777" w:rsidR="00867136" w:rsidRPr="00867136" w:rsidRDefault="00867136" w:rsidP="004A2AB6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547C27D" w14:textId="77777777" w:rsidR="00516242" w:rsidRDefault="00516242" w:rsidP="004A2AB6">
      <w:pPr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14:paraId="362C100F" w14:textId="7D02672B" w:rsidR="00CC27B7" w:rsidRDefault="00CC27B7" w:rsidP="00CC27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As </w:t>
      </w:r>
      <w:r w:rsidRPr="001F3DC8">
        <w:rPr>
          <w:rFonts w:ascii="Arial" w:eastAsia="Times New Roman" w:hAnsi="Arial" w:cs="Arial"/>
          <w:sz w:val="24"/>
          <w:szCs w:val="24"/>
          <w:lang w:eastAsia="pt-BR"/>
        </w:rPr>
        <w:t xml:space="preserve">informações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mais detalhadas </w:t>
      </w:r>
      <w:r w:rsidRPr="001F3DC8">
        <w:rPr>
          <w:rFonts w:ascii="Arial" w:eastAsia="Times New Roman" w:hAnsi="Arial" w:cs="Arial"/>
          <w:sz w:val="24"/>
          <w:szCs w:val="24"/>
          <w:lang w:eastAsia="pt-BR"/>
        </w:rPr>
        <w:t>podem ser acessadas no Relatório Contábil 2022, no link abaixo:</w:t>
      </w:r>
    </w:p>
    <w:p w14:paraId="1ACAD293" w14:textId="77777777" w:rsidR="00CC27B7" w:rsidRDefault="00CC27B7" w:rsidP="00CC27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748EC79" w14:textId="77777777" w:rsidR="00CC27B7" w:rsidRDefault="00000000" w:rsidP="00CC27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hyperlink r:id="rId9" w:history="1">
        <w:r w:rsidR="00CC27B7" w:rsidRPr="003B0715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http://www.pra.ufpb.br/pra/contents/formularios/balanco/relatorio-contabil-2022/view</w:t>
        </w:r>
      </w:hyperlink>
    </w:p>
    <w:p w14:paraId="12B99D06" w14:textId="77777777" w:rsidR="00CC27B7" w:rsidRPr="001F3DC8" w:rsidRDefault="00CC27B7" w:rsidP="00CC27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0902D72" w14:textId="77777777" w:rsidR="00CC27B7" w:rsidRPr="00CC27B7" w:rsidRDefault="00CC27B7" w:rsidP="004A2AB6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CC27B7" w:rsidRPr="00CC27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B0F1C"/>
    <w:multiLevelType w:val="hybridMultilevel"/>
    <w:tmpl w:val="093A781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CCB52DC"/>
    <w:multiLevelType w:val="hybridMultilevel"/>
    <w:tmpl w:val="FB9AC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106125">
    <w:abstractNumId w:val="1"/>
  </w:num>
  <w:num w:numId="2" w16cid:durableId="137306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09"/>
    <w:rsid w:val="000B7EFF"/>
    <w:rsid w:val="000F6C73"/>
    <w:rsid w:val="00143B3A"/>
    <w:rsid w:val="001B5F0B"/>
    <w:rsid w:val="001F3DC8"/>
    <w:rsid w:val="002045E3"/>
    <w:rsid w:val="002B4D36"/>
    <w:rsid w:val="003016B9"/>
    <w:rsid w:val="00333C26"/>
    <w:rsid w:val="003453F7"/>
    <w:rsid w:val="00386A5B"/>
    <w:rsid w:val="00394214"/>
    <w:rsid w:val="004745C9"/>
    <w:rsid w:val="004A2AB6"/>
    <w:rsid w:val="004F64B1"/>
    <w:rsid w:val="00510DB6"/>
    <w:rsid w:val="00516242"/>
    <w:rsid w:val="00585B04"/>
    <w:rsid w:val="00662E60"/>
    <w:rsid w:val="00685098"/>
    <w:rsid w:val="00735AB0"/>
    <w:rsid w:val="00743836"/>
    <w:rsid w:val="00753DB9"/>
    <w:rsid w:val="0078433A"/>
    <w:rsid w:val="00787F71"/>
    <w:rsid w:val="007D237C"/>
    <w:rsid w:val="007E4DE7"/>
    <w:rsid w:val="00820D1E"/>
    <w:rsid w:val="00836752"/>
    <w:rsid w:val="00857EFE"/>
    <w:rsid w:val="00863DE0"/>
    <w:rsid w:val="00867136"/>
    <w:rsid w:val="008E2F09"/>
    <w:rsid w:val="00953AA4"/>
    <w:rsid w:val="009A063F"/>
    <w:rsid w:val="009F4FA9"/>
    <w:rsid w:val="00BF4BAD"/>
    <w:rsid w:val="00C92D8D"/>
    <w:rsid w:val="00CC27B7"/>
    <w:rsid w:val="00D05811"/>
    <w:rsid w:val="00D55119"/>
    <w:rsid w:val="00DB332A"/>
    <w:rsid w:val="00E375AB"/>
    <w:rsid w:val="00EC7DC8"/>
    <w:rsid w:val="00F25AD9"/>
    <w:rsid w:val="00F35819"/>
    <w:rsid w:val="00F70762"/>
    <w:rsid w:val="00F843D9"/>
    <w:rsid w:val="00F9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00A3"/>
  <w15:chartTrackingRefBased/>
  <w15:docId w15:val="{44C07D22-C60F-459D-87B7-42282B04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edcontent">
    <w:name w:val="markedcontent"/>
    <w:basedOn w:val="Fontepargpadro"/>
    <w:rsid w:val="008E2F09"/>
  </w:style>
  <w:style w:type="paragraph" w:customStyle="1" w:styleId="Standard">
    <w:name w:val="Standard"/>
    <w:qFormat/>
    <w:rsid w:val="00F25AD9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val="pt-PT" w:eastAsia="zh-CN" w:bidi="pt-PT"/>
    </w:rPr>
  </w:style>
  <w:style w:type="paragraph" w:styleId="PargrafodaLista">
    <w:name w:val="List Paragraph"/>
    <w:basedOn w:val="Normal"/>
    <w:uiPriority w:val="34"/>
    <w:qFormat/>
    <w:rsid w:val="001F3DC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058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5811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743836"/>
    <w:pPr>
      <w:autoSpaceDE w:val="0"/>
      <w:autoSpaceDN w:val="0"/>
      <w:adjustRightInd w:val="0"/>
      <w:spacing w:after="0" w:line="220" w:lineRule="atLeast"/>
    </w:pPr>
    <w:rPr>
      <w:rFonts w:ascii="Liberation Sans" w:hAnsi="Liberation Sans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4F64B1"/>
    <w:pPr>
      <w:autoSpaceDE w:val="0"/>
      <w:autoSpaceDN w:val="0"/>
      <w:adjustRightInd w:val="0"/>
      <w:spacing w:after="0" w:line="220" w:lineRule="atLeast"/>
    </w:pPr>
    <w:rPr>
      <w:rFonts w:ascii="Roboto Lt" w:hAnsi="Roboto Lt"/>
      <w:sz w:val="24"/>
      <w:szCs w:val="24"/>
    </w:rPr>
  </w:style>
  <w:style w:type="paragraph" w:customStyle="1" w:styleId="Pa139">
    <w:name w:val="Pa139"/>
    <w:basedOn w:val="Normal"/>
    <w:next w:val="Normal"/>
    <w:uiPriority w:val="99"/>
    <w:rsid w:val="009F4FA9"/>
    <w:pPr>
      <w:autoSpaceDE w:val="0"/>
      <w:autoSpaceDN w:val="0"/>
      <w:adjustRightInd w:val="0"/>
      <w:spacing w:after="0" w:line="360" w:lineRule="atLeast"/>
    </w:pPr>
    <w:rPr>
      <w:rFonts w:ascii="Roboto" w:hAnsi="Robo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a.ufpb.br/pra/contents/formularios/balanco/relatorio-contabil-2022/view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RELATORIO%20DE%20GEST&#195;O%202022\PLANILHAS%20-%20RELATORIO%20GEST&#195;O%20-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RELATORIO%20DE%20GEST&#195;O%202022\PLANILHAS%20-%20RELATORIO%20GEST&#195;O%20-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RELATORIO%20DE%20GEST&#195;O%202022\PLANILHAS%20-%20RELATORIO%20GEST&#195;O%20-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RELATORIO%20DE%20GEST&#195;O%202022\PLANILHAS%20-%20RELATORIO%20GEST&#195;O%20-%20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100" b="1">
                <a:latin typeface="Arial" panose="020B0604020202020204" pitchFamily="34" charset="0"/>
                <a:cs typeface="Arial" panose="020B0604020202020204" pitchFamily="34" charset="0"/>
              </a:rPr>
              <a:t>Balanço Patrimonial 2022 - composição do Ativo</a:t>
            </a:r>
          </a:p>
        </c:rich>
      </c:tx>
      <c:layout>
        <c:manualLayout>
          <c:xMode val="edge"/>
          <c:yMode val="edge"/>
          <c:x val="0.1640067804024497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41-4496-BC11-DDB06EF4F08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41-4496-BC11-DDB06EF4F08A}"/>
              </c:ext>
            </c:extLst>
          </c:dPt>
          <c:dLbls>
            <c:dLbl>
              <c:idx val="0"/>
              <c:layout>
                <c:manualLayout>
                  <c:x val="-8.1421697287839018E-2"/>
                  <c:y val="0.13391878098571017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A41-4496-BC11-DDB06EF4F08A}"/>
                </c:ext>
              </c:extLst>
            </c:dLbl>
            <c:dLbl>
              <c:idx val="1"/>
              <c:layout>
                <c:manualLayout>
                  <c:x val="6.2322834645669289E-2"/>
                  <c:y val="-0.17780621172353456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A41-4496-BC11-DDB06EF4F0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('BALANÇO PATRIMONIAL'!$D$2,'BALANÇO PATRIMONIAL'!$D$7)</c:f>
              <c:strCache>
                <c:ptCount val="2"/>
                <c:pt idx="0">
                  <c:v>ATIVO CIRCULANTE</c:v>
                </c:pt>
                <c:pt idx="1">
                  <c:v>ATIVO NÃO CIRCULANTE</c:v>
                </c:pt>
              </c:strCache>
            </c:strRef>
          </c:cat>
          <c:val>
            <c:numRef>
              <c:f>('BALANÇO PATRIMONIAL'!$E$2,'BALANÇO PATRIMONIAL'!$E$7)</c:f>
              <c:numCache>
                <c:formatCode>_(* #,##0.00_);_(* \(#,##0.00\);_(* "-"??_);_(@_)</c:formatCode>
                <c:ptCount val="2"/>
                <c:pt idx="0">
                  <c:v>200212413.15000004</c:v>
                </c:pt>
                <c:pt idx="1">
                  <c:v>703627292.89999998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A41-4496-BC11-DDB06EF4F0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100" b="1" i="0" baseline="0">
                <a:effectLst/>
                <a:latin typeface="Arial" panose="020B0604020202020204" pitchFamily="34" charset="0"/>
                <a:cs typeface="Arial" panose="020B0604020202020204" pitchFamily="34" charset="0"/>
              </a:rPr>
              <a:t>Balanço Patrimonial 2022 - composição do Passivo</a:t>
            </a:r>
            <a:endParaRPr lang="pt-BR" sz="1100">
              <a:effectLst/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C19-4DD0-A747-79438734C12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C19-4DD0-A747-79438734C124}"/>
              </c:ext>
            </c:extLst>
          </c:dPt>
          <c:dLbls>
            <c:dLbl>
              <c:idx val="0"/>
              <c:layout>
                <c:manualLayout>
                  <c:x val="-0.10801946631671042"/>
                  <c:y val="9.464238845144352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C19-4DD0-A747-79438734C124}"/>
                </c:ext>
              </c:extLst>
            </c:dLbl>
            <c:dLbl>
              <c:idx val="1"/>
              <c:layout>
                <c:manualLayout>
                  <c:x val="0.11426727909011374"/>
                  <c:y val="-9.102981918926800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C19-4DD0-A747-79438734C12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('BALANÇO PATRIMONIAL'!$D$15,'BALANÇO PATRIMONIAL'!$D$21)</c:f>
              <c:strCache>
                <c:ptCount val="2"/>
                <c:pt idx="0">
                  <c:v>PASSIVO CIRCULANTE</c:v>
                </c:pt>
                <c:pt idx="1">
                  <c:v>PATRIMÔNIO LÍQUIDO</c:v>
                </c:pt>
              </c:strCache>
            </c:strRef>
          </c:cat>
          <c:val>
            <c:numRef>
              <c:f>('BALANÇO PATRIMONIAL'!$E$15,'BALANÇO PATRIMONIAL'!$E$21)</c:f>
              <c:numCache>
                <c:formatCode>_(* #,##0.00_);_(* \(#,##0.00\);_(* "-"??_);_(@_)</c:formatCode>
                <c:ptCount val="2"/>
                <c:pt idx="0">
                  <c:v>287452933.50999999</c:v>
                </c:pt>
                <c:pt idx="1">
                  <c:v>616386772.54000008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C19-4DD0-A747-79438734C1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100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Balanço financeiro - Ingressos - 2022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AEC-4585-B18C-7E8AEC481F5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AEC-4585-B18C-7E8AEC481F5B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AEC-4585-B18C-7E8AEC481F5B}"/>
              </c:ext>
            </c:extLst>
          </c:dPt>
          <c:dPt>
            <c:idx val="3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AEC-4585-B18C-7E8AEC481F5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'BALANÇO FINANCEIRO'!$A$2:$A$5</c:f>
              <c:strCache>
                <c:ptCount val="4"/>
                <c:pt idx="0">
                  <c:v>Receitas Orçamentárias</c:v>
                </c:pt>
                <c:pt idx="1">
                  <c:v>Transferências Financeiras Recebidas</c:v>
                </c:pt>
                <c:pt idx="2">
                  <c:v>Recebimentos Extraorçamentários</c:v>
                </c:pt>
                <c:pt idx="3">
                  <c:v>Saldo do Exercício Anterior</c:v>
                </c:pt>
              </c:strCache>
            </c:strRef>
          </c:cat>
          <c:val>
            <c:numRef>
              <c:f>'BALANÇO FINANCEIRO'!$B$2:$B$5</c:f>
              <c:numCache>
                <c:formatCode>_(* #,##0.00_);_(* \(#,##0.00\);_(* "-"??_);_(@_)</c:formatCode>
                <c:ptCount val="4"/>
                <c:pt idx="0">
                  <c:v>7501233.1299999999</c:v>
                </c:pt>
                <c:pt idx="1">
                  <c:v>2213318050.3499999</c:v>
                </c:pt>
                <c:pt idx="2">
                  <c:v>208676018.59</c:v>
                </c:pt>
                <c:pt idx="3">
                  <c:v>152202503.75999999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AEC-4585-B18C-7E8AEC481F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sz="1200" b="1" i="0" baseline="0">
                <a:solidFill>
                  <a:sysClr val="windowText" lastClr="000000"/>
                </a:solidFill>
                <a:effectLst/>
                <a:latin typeface="Arial" panose="020B0604020202020204" pitchFamily="34" charset="0"/>
                <a:cs typeface="Arial" panose="020B0604020202020204" pitchFamily="34" charset="0"/>
              </a:rPr>
              <a:t>Balanço financeiro - Dispêndios - 2022</a:t>
            </a:r>
            <a:endParaRPr lang="pt-BR" sz="1200" b="1">
              <a:solidFill>
                <a:sysClr val="windowText" lastClr="000000"/>
              </a:solidFill>
              <a:effectLst/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C08-43AF-9998-5D60E1FF7AB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C08-43AF-9998-5D60E1FF7AB1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C08-43AF-9998-5D60E1FF7AB1}"/>
              </c:ext>
            </c:extLst>
          </c:dPt>
          <c:dPt>
            <c:idx val="3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C08-43AF-9998-5D60E1FF7AB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'BALANÇO FINANCEIRO'!$A$9:$A$12</c:f>
              <c:strCache>
                <c:ptCount val="4"/>
                <c:pt idx="0">
                  <c:v>Despesas Orçamentárias</c:v>
                </c:pt>
                <c:pt idx="1">
                  <c:v>Transferências Financeiras Concedidas</c:v>
                </c:pt>
                <c:pt idx="2">
                  <c:v>Despesas Extraorçamentárias</c:v>
                </c:pt>
                <c:pt idx="3">
                  <c:v>Saldo para o Exercício Seguinte</c:v>
                </c:pt>
              </c:strCache>
            </c:strRef>
          </c:cat>
          <c:val>
            <c:numRef>
              <c:f>'BALANÇO FINANCEIRO'!$B$9:$B$12</c:f>
              <c:numCache>
                <c:formatCode>_(* #,##0.00_);_(* \(#,##0.00\);_(* "-"??_);_(@_)</c:formatCode>
                <c:ptCount val="4"/>
                <c:pt idx="0">
                  <c:v>1996920415.1400001</c:v>
                </c:pt>
                <c:pt idx="1">
                  <c:v>246575736.19</c:v>
                </c:pt>
                <c:pt idx="2">
                  <c:v>180833921.41999999</c:v>
                </c:pt>
                <c:pt idx="3">
                  <c:v>157367733.08000001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C08-43AF-9998-5D60E1FF7A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2312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pra3</dc:creator>
  <cp:keywords/>
  <dc:description/>
  <cp:lastModifiedBy>RUBENS</cp:lastModifiedBy>
  <cp:revision>2</cp:revision>
  <dcterms:created xsi:type="dcterms:W3CDTF">2023-05-19T19:25:00Z</dcterms:created>
  <dcterms:modified xsi:type="dcterms:W3CDTF">2023-05-19T19:25:00Z</dcterms:modified>
</cp:coreProperties>
</file>