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3873500</wp:posOffset>
                </wp:positionH>
                <wp:positionV relativeFrom="paragraph">
                  <wp:posOffset>-86360</wp:posOffset>
                </wp:positionV>
                <wp:extent cx="38100" cy="175260"/>
                <wp:effectExtent l="0" t="0" r="0" b="0"/>
                <wp:wrapNone/>
                <wp:docPr id="1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0" cy="17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305pt;margin-top:-6.8pt;width:2.9pt;height:13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76"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1990" cy="969645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</w:r>
    </w:p>
    <w:p>
      <w:pPr>
        <w:pStyle w:val="Normal"/>
        <w:spacing w:lineRule="auto" w:line="240" w:before="0" w:after="0"/>
        <w:jc w:val="center"/>
        <w:rPr>
          <w:rFonts w:eastAsia="Calibri"/>
          <w:b/>
          <w:b/>
          <w:color w:val="000000"/>
          <w:kern w:val="0"/>
          <w:lang w:val="pt-BR" w:eastAsia="pt-BR"/>
        </w:rPr>
      </w:pPr>
      <w:r>
        <w:rPr>
          <w:rFonts w:eastAsia="Calibri"/>
          <w:b/>
          <w:color w:val="000000"/>
          <w:kern w:val="0"/>
          <w:lang w:val="pt-BR" w:eastAsia="pt-BR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kern w:val="0"/>
          <w:sz w:val="22"/>
          <w:szCs w:val="22"/>
          <w:lang w:val="pt-BR" w:eastAsia="pt-BR"/>
        </w:rPr>
        <w:t>UNIVERSIDADE FEDERAL DA PARAÍBA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/>
          <w:b/>
          <w:color w:val="000000"/>
          <w:kern w:val="0"/>
          <w:sz w:val="22"/>
          <w:szCs w:val="22"/>
          <w:lang w:val="pt-BR" w:eastAsia="pt-BR"/>
        </w:rPr>
        <w:t>EDITAL N° 83, DE 15 DE AGOSTO 2019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kern w:val="0"/>
          <w:sz w:val="22"/>
          <w:szCs w:val="22"/>
          <w:lang w:val="pt-BR" w:eastAsia="pt-BR"/>
        </w:rPr>
        <w:t>CONCURSO PÚBLICO DE PROVAS E TÍTULOS PARA PROFESSOR DO MAGISTÉRIO SUPERIOR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Calibri"/>
          <w:b/>
          <w:b/>
          <w:color w:val="000000"/>
          <w:kern w:val="0"/>
          <w:sz w:val="22"/>
          <w:szCs w:val="22"/>
          <w:lang w:val="pt-BR" w:eastAsia="pt-BR"/>
        </w:rPr>
      </w:pPr>
      <w:r>
        <w:rPr>
          <w:rFonts w:eastAsia="Calibri"/>
          <w:b/>
          <w:color w:val="000000"/>
          <w:kern w:val="0"/>
          <w:sz w:val="22"/>
          <w:szCs w:val="22"/>
          <w:lang w:val="pt-BR" w:eastAsia="pt-BR"/>
        </w:rPr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rFonts w:eastAsia="Calibri"/>
          <w:b/>
          <w:color w:val="000000"/>
          <w:kern w:val="0"/>
          <w:sz w:val="22"/>
          <w:szCs w:val="22"/>
          <w:lang w:val="pt-BR" w:eastAsia="pt-BR"/>
        </w:rPr>
        <w:t>CONTEÚDOS PROGRAMÁTICOS</w:t>
      </w:r>
    </w:p>
    <w:tbl>
      <w:tblPr>
        <w:tblW w:w="85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8504"/>
      </w:tblGrid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CAMPUS I - JOÃO PESSOA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CCEN – Departamento de Biologia Molecular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Bioquímica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Água, pH, tampões biológicos e distúrbios do equilíbrio ácido-básico;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Proteínas e peptídeos: estrutura, função e métodos aplicados ao estudo de proteínas e de proteomas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Enzimas: estrutura, catálise enzimática, vitaminas e co-fatores e métodos aplicados ao estudo das enzimas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Carboidratos: Estrutura, função e métodos aplicados ao estudo de carboidratos e de glicomas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Metabolismos de carboidratos: principais vias bioquímicas, mecanismos de regulação e integração das vias;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Lipídeos: Estrutura, função e métodos aplicados ao estudo dos lipídeos e de lipidomas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07. Metabolismo de lipídeos 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Catabolismo de aminoácidos: transporte de grupamentos de amina, ciclo da ureia e amonoacidopatias;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Ciclo Krebs, cadeia de transporte de elétrons, fosforilação oxidativa e fotofosforilação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Bioquímica da digestão e absorção dos nutrientes (proteínas, lipídeos e carboidratos) e doenças relacionadas.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Nelson, David L.; Cox, Michael. Princípios de Bioquímica de Lehninger - 7ª Ed. 2018. Artmed;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Voet, Donald; Voet, Judith G. Bioquímica - 4ª Ed. 2013. Artmed;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Champe, Pamela C.; Harvey,Richard A.; Ferrier,Denise R., Ph.D. Bioquímica Ilustrada - 5ª Ed. 2012. Artmed.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Stryer L.; Berg, J.M.;Tymoczo T. Bioquímica – 7a Edição. 2014. Guanabara Koogan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 w:cs="Calibri"/>
                <w:b w:val="false"/>
                <w:bCs w:val="false"/>
                <w:kern w:val="2"/>
                <w:sz w:val="22"/>
                <w:szCs w:val="22"/>
              </w:rPr>
              <w:t xml:space="preserve">Profa. Dra. Leonor Alves de Oliveira da Silva (Presidente) – UFPB; </w:t>
            </w:r>
            <w:r>
              <w:rPr>
                <w:rFonts w:cs="Calibri"/>
                <w:kern w:val="2"/>
              </w:rPr>
              <w:t xml:space="preserve">Profa. Dra. Monica Tejo Cavalcanti  - UFCG; </w:t>
            </w:r>
            <w:r>
              <w:rPr>
                <w:rFonts w:eastAsia="Calibri" w:cs="Calibri"/>
                <w:b w:val="false"/>
                <w:bCs w:val="false"/>
                <w:kern w:val="2"/>
                <w:sz w:val="22"/>
                <w:szCs w:val="22"/>
              </w:rPr>
              <w:t>Profa. Dra. Maria Betânia Melo de Oliveira – UFPE.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Suplentes: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Prof. Dr. Romulo Llamoca Zarate – UFPB; </w:t>
            </w:r>
            <w:r>
              <w:rPr/>
              <w:t>Profa. Dra Ana Lucia Figueiredo Porto – UFRPE; Profa. Dra. Sônia Aparecida de Andrade (Instituto Butantã).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CCEN – Departamento de </w:t>
            </w:r>
            <w:r>
              <w:rPr>
                <w:rFonts w:eastAsia="Calibri"/>
                <w:b/>
                <w:sz w:val="22"/>
                <w:szCs w:val="22"/>
              </w:rPr>
              <w:t>Física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Área: </w:t>
            </w:r>
            <w:r>
              <w:rPr>
                <w:rFonts w:eastAsia="Calibri"/>
                <w:b/>
                <w:sz w:val="22"/>
                <w:szCs w:val="22"/>
              </w:rPr>
              <w:t>Óptica Experimental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 xml:space="preserve">01. </w:t>
            </w:r>
            <w:r>
              <w:rPr>
                <w:rFonts w:eastAsia="Calibri"/>
                <w:sz w:val="22"/>
                <w:szCs w:val="22"/>
                <w:lang w:eastAsia="pt-BR"/>
              </w:rPr>
              <w:t>Equações de Maxwell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02. </w:t>
            </w:r>
            <w:r>
              <w:rPr/>
              <w:t>Equação paraxial e suas soluções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03. </w:t>
            </w:r>
            <w:r>
              <w:rPr/>
              <w:t>Modelos Clássicos de interação radiação matéria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04. </w:t>
            </w:r>
            <w:r>
              <w:rPr/>
              <w:t>Interferência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05. </w:t>
            </w:r>
            <w:r>
              <w:rPr/>
              <w:t>Polarização da luz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06. </w:t>
            </w:r>
            <w:r>
              <w:rPr/>
              <w:t>Equação de Shrodinger e aplicações unidimensionais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07. </w:t>
            </w:r>
            <w:r>
              <w:rPr/>
              <w:t>Teoria de Perturbações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08. </w:t>
            </w:r>
            <w:r>
              <w:rPr/>
              <w:t>Momento Angular e Spin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09. </w:t>
            </w:r>
            <w:r>
              <w:rPr/>
              <w:t>Átomo de Hidrogênio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10. </w:t>
            </w:r>
            <w:r>
              <w:rPr/>
              <w:t>Partículas Idênticas</w:t>
            </w:r>
          </w:p>
          <w:p>
            <w:pPr>
              <w:pStyle w:val="PargrafodaLista"/>
              <w:spacing w:lineRule="auto" w:line="240" w:before="0" w:after="160"/>
              <w:ind w:left="720" w:right="0" w:hanging="0"/>
              <w:contextualSpacing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Fundamentals of Photonics. B. E. A. Saleh e  M. C. Teich, Ed. Wiley – Interscience, ISBN-10:0471358320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Introduction to Modern Optics. Grant R. Fowles, Ed. Dover. ISBN-10: 048665977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Principles of Optics: Eletromagnetic Theory of Propagation, Interference and Diffraction of Light, Max Born, Emil Wolf, Ed. Cambridge, ISBN-10: 0521642221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Optics, E. Hecht, Ed. Pearson, ISBN-10: 0133977226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Mecânica Quântica, David Griffiths, Ed. Pearson Education, ISBN 9788576059271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 xml:space="preserve">Quantum Mechanics, Claude Cohen-tannoudji, Bernard Diu, Frank Laloe, </w:t>
            </w: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Ed. Wiley, ISBN-10: 047116433X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Edilson</w:t>
            </w:r>
            <w:r>
              <w:rPr>
                <w:rFonts w:eastAsia="Calibri" w:cs="Calibri"/>
                <w:b w:val="false"/>
                <w:bCs w:val="false"/>
                <w:kern w:val="2"/>
                <w:sz w:val="22"/>
                <w:szCs w:val="22"/>
              </w:rPr>
              <w:t xml:space="preserve"> Lucena Falcão Filho (UFPE); Eduardo Jorge da Silva Fonseca(UFAL); Sandra Vianna (UFPE)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Suplentes: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Marcos Vinícius Dias Vermelho (PQ2) (UFAL); Danieverton Moretti (UFCG); Lúcio Hora Acioly(UFPE); Betúlio de Lima Bernardo (UFPB); Tommaso Macri (UFRN); Albert Stevens Reyna Ocas(UFRPE); Emerson de Lima(UFAL-Arapiraca); Nadja Kolb Bernardes(UFPE); André de Lima Moura(UFAL-Arapiraca)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CCHLA – Departamento de Letras Estrangeiras e Modernas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Literaturas de Língua Inglesa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pt-BR"/>
              </w:rPr>
              <w:t>01.Historical approaches on literary criticism: from Russian Formalists to contemporary tendencies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pt-BR"/>
              </w:rPr>
              <w:t>0</w:t>
            </w:r>
            <w:r>
              <w:rPr/>
              <w:t>2.Literature, cinema and other artistic expressions: the relevance of interdisciplinary studies in the teaching of literatures in English.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03.A poetics of modernism in literature: aesthetic and political implications.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04.Theory, Criticism and Literatures in English: a pedagogical approach.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05.The Victorian Novel and the construction of femininity.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06.Oscar Wilde’s plays: cultural context and ideological content.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07.The romantic movement in British and American poetry.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08.The relevance of metaphor in poetry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09.Narrative techniques: the speaking person in the novel.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10. Renaissance Drama: historical contexts, theoretical principles and political implications.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ABBOTT, H. Porter. The Cambridge Introduction to Narrative. Cambridge: Cambridge University Press, 2008.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BAKHTIN, Mikhail. Questões de literatura e de estética: a teoria do romance. Tradução Aurora F. Bernadini e outros. São Paulo: Editora UNESP, 1993.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BLOOM, Harold. Shakespeare:  a invenção do humano. Tradução José Roberto O'Shea. Rio de Janeiro: Objetiva, 2000.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BRAIT, Beth. Literatura e outras linguagens. São Paulo: Contexto, 2013.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BULMAN, James. C. (org.). Shakespeare, theory and performance. London: Routledge, 1996.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CHATMAN, Seymour. Coming to terms: the rhetoric of narrative in fiction and film. Ithaca and London: Cornell University Press, 1990.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COELHO, Teixeira e MOLINO, Denis. ROMANTISMO - A arte do entusiasmo. edição em português e em inglês.São Paulo: Coleção MASP, 2010.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EAGLETON, Terry. Literary theory. USA: The University of Minnesota Press, 1996.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EIKHENBAUM, Boris et al. Teoria da Literatura: formalistas russos. Traduçôes de Ana Maria Ribeiro, Maria Aparecida Peeira, Regina L. Zilberman e Antônio Carlos Hohlfeldt. Porto Alegre: Editôra Globo, 1970.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FERBER, Michael. Romanticism. Oxford: Oxford University Press, 2010.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GAY, Peter. Modernism. The lure of heresy from Baudelaire to Becket and beyond. New York: Norton, 2008.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GENETTE, Gerard. Discurso da narrativa. Tradução de Maria Alzira Seixo. Lisboa: Veja Universidade, s/d.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GIBBS, Jr., Raymond William. The poetics of mind: figurative thought, language and understanding. Cambridge: Cambridge University Press, 1995.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GILBERT, S. M. and GUBAR, S. The madwoman in the attic. Yale: Yale University Press, 2000.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GUINSBURG, J. (org.) O Romantismo. São Paulo: Perspectiva, 2008.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HALLET, Wolfgang. A methodology of intermediality in literary studies. In: RIPPL (ed.). Handbook of intermediality. Germany: De Gruyter, 2015.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HELIODORA, B. Dramaturgia Elisabetana. São Paulo: Editora Perspectiva, 2015.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ISER, Wolfgang. O ato de leitura: uma teoria do efeito estético. Tradução de Johannes Kretschmer. São Paulo: Ed. 34,1999.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LAUTER, Paul et al. The Heath Anthology Of American Literature: Early Nineteenth Century: 1800-1865, Volume B. 1990.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PROFª. DRª MARIA ELIZABETH P. SOUTO MAIOR MENDES (PRESIDENTE); PROF. DR. ANACÃ RUPERT AGRA (UEPB- CG); PROF. DR. JOSÉ VILIAN MANGUEIRA (UEPB- GUARABIRA).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Suplentes: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PROF. DR. JEOVÁ MENDONÇA; PROFª. DRª ROSÂNGELA NERES (UEPB-GUARABIRA); PROF. DR. YURI JIVAGO AMORIM CARIBÉ (UFPE).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Língua Francesa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Analyse contrastive des systèmes vocalique et consonantique du français et du portugais du Brésil dans la formation des enseignants de FLE.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Production et analyse de matériel didactique du FLE pour l’usage en contexte universitaire brésilien.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La place de la littérature dans la formation de futurs enseignants de FLE à l’Université.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Les interactions verbales en cours de FLE comme moyen de découvertes intra, inter et transculturelles.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Les intelligences multiples en cours de FLE et en contexte de formation pour enseignants.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Le cyberespace dans l'enseignement du FLE:considérations théoriques et pédagogiques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07. Les relations entre la langue étrangère et la langue maternelle dans les nouvelles tendances en didactiques de langues.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Pratiques de lecture et stratégies métacognitives dans l'enseignement du FLE.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L’évaluation dans l’enseignement/apprentissage du FLE.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Enseigner le FLE: des méthodes traditionnelles à l’approche communicative.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en-US"/>
              </w:rPr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Rosalina Maria Sales Chianca (UFPB); </w:t>
            </w:r>
            <w:r>
              <w:rPr/>
              <w:t>Maria Angélica de Oliveira (UFCG); Catarina Amorim de Oliveira Andrade (UFPE)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Philio Generino Terzakis(UFPB); Renata Archanjo(UFRN); Tâmara Maria Costa e Silva Nogueira de Abreu(UFRN)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CCHLA – Departamento de Língua Portuguesa e Linguística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Língua Portuguesa e Linguística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A SER ENTREGUE AO CANDIDATO NO ATO DA INSCRIÇÃO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>
                <w:rFonts w:eastAsia="Calibri"/>
                <w:b w:val="false"/>
                <w:sz w:val="22"/>
                <w:szCs w:val="22"/>
                <w:lang w:eastAsia="pt-BR"/>
              </w:rPr>
              <w:t>A SER INFORMADO AO CANDIDATO NO ATO DA INSCRIÇÃO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pt-BR"/>
              </w:rPr>
              <w:t>A SER INFORMADO AO CANDIDATO NO ATO DA INSCRIÇÃO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CE – Departamento de Fundamentação da Educação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Fundamentos Psicológicos da Educação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Psicologia da Educação: aspectos históricos, conceituação, caracterização, objeto de estudo e seus conteúdos, concepções atuais no cenário brasileiro.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02. Teorias do Desenvolvimento Humano e Aprendizagem: diferentes bases epistemológicas.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Teorias da aprendizagem escolar: Epistemologia Genética; Psicologia Histórico-Cultural; Teoria da aprendizagem verbal significativa.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Os processos do ensino e da aprendizagem para a Psicanálise e abordagem Humanista: implicações educacionais.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Desenvolvimento psicológico durante a infância: dimensões biológica, psicomotora, cognitiva, linguística, social, afetiva e da personalidade.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6. Desenvolvimento psicológico durante a adolescência: aspectos históricos, cognitivos, sociomorais, afetivos e da personalidade.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Sexualidade, gênero e educação sexual: aspectos psicológicos e socioculturais.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Corporeidade e Educação: o sujeito, o meio ambiente e a cultura.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Relações escola, família e sociedade: contribuições da Psicologia.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Diversidade humana e desenvolvimento psicológico: diálogos entre a Psicologia e a Educação Inclusiva.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Prof.ª Dr.ª Maria Teresa Barros Falcão Coelho (UFPB) – Presidente; </w:t>
            </w:r>
            <w:r>
              <w:rPr/>
              <w:t>Prof.ª Dr.ª Ana Cristina Rabelo Loureiro (UEPB); Prof.ª Dr.ª Géssica Fabiely Fonseca (UFRN)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Prof.ª Dr.ª Cárita Portilho de Lima; </w:t>
            </w:r>
            <w:r>
              <w:rPr/>
              <w:t>Prof.º Dr. José Andrade Costa Filho (UEPB); Prof.º Dr. Júlio Ribeiro Soares (UFRN)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CE – Departamento de Metodologia da Educação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Linguagens e Ensino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Arte, Culturas e Multiletramentos na escola;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02. A Base Nacional Comum Curricular e o ensino de Língua Portuguesa nos anos iniciais do Ensino Fundamental;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Letramento literário e o papel da escola na formação de leitores;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Contribuições das teorias de aquisição da linguagem para os processos de alfabetização;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Concepções de processos de alfabetização e letramento;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06. Gêneros textuais no ensino de Língua Portuguesa;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Aspectos sociolinguísticos no ensino de Língua Portuguesa na Educação de Jovens e Adultos;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Leitura na escola - concepções, objetivos e estratégias;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09. Avaliação da aprendizagem no ensino de Língua Portuguesa;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Livro didático e outras tecnologias para o ensino de Língua Portuguesa na contemporaneidade.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Profa. Dra. Maria Lúcia da Silva Nunes - UFPB - Campus I - DME/CE - Presidente da Banca;</w:t>
            </w:r>
            <w:r>
              <w:rPr/>
              <w:t xml:space="preserve"> Profa. Dra. Maria de Fátima Alves - UFCG/Campina Grande - Unidade Acadêmica de Educação; Profª. Dra.Ilane Ferreira Cavalcante(IFRN / Natal– Titular externo à UFPB)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Profa. Dra. Maria Margareth de Lima - UFPB - Campus I - DME/CE ;</w:t>
            </w:r>
            <w:r>
              <w:rPr/>
              <w:t xml:space="preserve"> Prof. Dr José Wanderley Alves de Sousa - UFCG/Campus Cajazeiras - Centro de Formação de Professores - Departamento de Letras; Profª. Fabiana Ramos(UFCG/Campina Grande – Unidade Acadêmica de Educação)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Ciências Sociais e Educação Popular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 xml:space="preserve">01. Interconexões entre o Ensino de História, a historiografia e a Teoria da História;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A História Social na escola: perspectivas inovadoras para o ensino de História;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03. A História Cultural na escola: perspectivas inovadoras para o ensino de História;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História, memória e patrimônio no ensino de História;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05. História local e regional: teoria e metodologia para o ensino de História;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06. Propostas Curriculares Nacionais para o Ensino de História no Brasil na Educação Básica: da LDB de 1996 aos dias atuais;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07. Estágio supervisionado, pesquisa e formação docente para o ensino de História;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08. Ensino de História na contemporaneidade: os desafios para ensinar e aprender;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09. Conceitos no cotidiano do ensino de história: saber histórico escolar e não escolar, educação histórica, consciência histórica, Didática da História;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10. Materiais didáticos para o ensino de Histórico: o livro didático de História e o papel das novas linguagens;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11. Ensino de História e diversidade cultural: outros sujeitos, outros saberes, outros territórios.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A SER INFORMADO AO CANDIDATO NO ATO DA INSCRIÇÃO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CE – Departamento de Psicopedagogia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Área: Avaliação e Intervenção </w:t>
            </w:r>
            <w:r>
              <w:rPr>
                <w:b/>
                <w:bCs/>
              </w:rPr>
              <w:t>Psicopedagógica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 importância da entrevista inicial para a avaliação psicopedagógica.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Avaliação psicopedagogica no contexto escolar: possibilidades e desafios.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Estratégias de intervenção clínica e escola: um diálogo necessário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04. Avaliação e intervenção Psicopedagógica nos disturbios e dificuldades específicas da escrita.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05. Avaliação e intervenção Psicopedagógica nos disturbios e dificuldades específicas da leitura.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Avaliação e intervenção Psicopedagógica nos disturbios e dificuldades específicas da matemática.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A inserção da família e da escola no processo de avaliação e intervenção psicopedagógica: Uma integração necessária.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A intervenção psicopedagógica por meio do lúdico.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A construção histórica da psicopedagogia e o fortalecimento da avaliação e intervenção psicopedagógica no Brasil.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10. Avaliação e Intervenção psicopedagógica no Transtorno do Espectro do Autismo.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Profª Drª Mônica Dias Palitot (Presidente) – Departamento de Psicopedagogia/UFPB; </w:t>
            </w:r>
            <w:r>
              <w:rPr/>
              <w:t>Profª Drª Ionara Dantas Estevam – UnP (1º Membro); Profª Drª Cristina Novikoff – UFCG (2º Membro)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Profª Drª Andréia Dutra Escarião 1º Suplente/UFPB; </w:t>
            </w:r>
            <w:r>
              <w:rPr/>
              <w:t>Profª Drª Maria de Rosário da Silva Albuquerque – 2º Suplente/UPE; Profª Drª Danyelle Gonzaga Monte da Costa 3º Suplente/UFAC.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CCS – Departamento de Fonoaudiologia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Voz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Avaliação multidimensional da voz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02. Intervenção fonoaudiológica nas disfonias comportamentais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 xml:space="preserve">03. Interface entre voz e deglutição na clínica vocal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Avaliação e reabilitação integrada em voz e deglutição nas paralisias laríngeas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Avaliação integrada em voz e deglutição nas disfonias neurológicas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Reabilitação integrada em voz e deglutição nas disfonias neurológicas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Intervenção fonoaudiológica nas disartrofonias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Desafios da pesquisa e da prática baseada em evidência em Voz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Interdisciplinaridade na clínica vocal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Desafios atuais na clínica vocal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BARROS, A.P.B.; DEDIVITS, R.A.; SANT’ANA, R.B. Deglutição, voz e fala nas alterações neurológicas. Rio de Janeiro: Dilivros, 2013.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BEHLAU, M. Voz: o livro do especialista. Vol.1. Rio de Janeiro: Revinter, 2001.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BEHLAU, M. Voz: o livro do especialista. Vol.2. Rio de Janeiro: Revinter, 2005.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GOLDFARB, R. Consuming and producing research in communication sciences and disorders: developing power of professor. San Diego: Plural Publishing, 2021.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HEGDE, M.N.; SALVATORE, A.P. Clinical Research in Communication Disorders: principles and strategies. 4a ed. San Diego: Plural Publishing, 2020.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ORTIZ, K. (Org.). Distúrbios neurológicos adquiridos: fala e deglutição. 2a ed. Barueri: Manole, 2010.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LOPES, L. et al. (Org.). Fundamentos e Atualidades em Voz Clínica. Rio de Janeiro: Thieme Revinter Publicações, 2019.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LUDLOW, C.L.; KENT, R.D. Measuring voice, speech, and swallowing in the clinic and laboratory. San Diego: Plural Publishing, 2018.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 xml:space="preserve">MARCHESAN, I.Q.; SILVA, H.J.; TOMÉ, M.C. Tratado das Especialidades em Fonoaudiologia. São Paulo: Roca, 2014.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MURDOCH, B.E. Disartria: uma abordagem fisiológica para avaliação e tratamento. São Paulo: Lovise, 2005.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  <w:t>YU, E.M.L.; MA, E.P.M. (Org.). Handbook of Voice Assessments. San Diego, Plural Publishing, 2011.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bCs w:val="false"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Dr. Leandro de Araújo Pernambuco (UFPB) – Presidente; </w:t>
            </w:r>
            <w:r>
              <w:rPr/>
              <w:t>Dra. Irene de Pedro Netto (Hospital Sírio Libanês); Dra. Ana Cristina Côrtes Gama.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Suplentes: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Dra.Silvia Benevides (UFPB); </w:t>
            </w:r>
            <w:r>
              <w:rPr/>
              <w:t>Dra. Renata Guedes (FMU); Dra. Elma Heitmann Mares Azevedo (UFES); Dra.Ana Paula Dassie-Leite (UNICENTRO); Dra. Kelly Silvério (FOB-USP); Dra.Patrícia Mendes Balata (HOSPITAL DO SERVIDOR PE); Dra.Ana Carolina Constantini (UNICAMP)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CCS – Departamento de Morfologia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Embriologia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Gametogênese e fecundação em humanos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Primeira e segunda semana do desenvolvimento embrionário em humanos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Gastrulação e neurulação em humanos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Quarta à oitava semana do desenvolvimento embrionário em humanos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Placenta e anexos embrionários em humanos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Tecido epitelial de revestimento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Tecido conjuntivo propriamente dito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Tipos de ovos e padrões de clivagem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Fertilização, clivagem e gastrulação em invertebrados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Fertilização, clivagem e gastrulação em anfíbios e aves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Profa. Dra. Vivyanne Falcão Silva da Nóbrega - Profa. do Departamento de Morfologia do Centro do CCS/UFPB; Profa. Dra. Andreza Cristina de Lima Targino Massoni - Profa. de Embriologia e Histologia da Universidade Estadual da Paraíba; </w:t>
            </w:r>
            <w:r>
              <w:rPr/>
              <w:t>Profa. Dra. Keila Martha Amorim Barroso - Profa. de Histologia e Embriologia da Universidade Federal de Campina Grande.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Profa. Dra. Monique Danyelle Emiliano Batista Paiva - Profa. do Departamento de Morfologia do Centro do CCS/UFPB; Profa. Dra. Igara Oliveira Lima - Profa. de Microbiologia e Imunologia da Universidade Federal de Campina Grande; </w:t>
            </w:r>
            <w:r>
              <w:rPr/>
              <w:t>Profa. Dra. Patrícia Meira Bento - Profa. de Radiologia Odontológica da Universidade Estadual da Paraíba.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CCSA – Departamento de Ciência da Informação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Gestão de Documentos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Avaliação e seleção de documentos;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Diplomática Arquivística;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Políticas e legislação arquivística para gestão de documentos;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Classificação e indexação na gestão de documentos;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Epistemologia da gestão arquivística de documentos;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Gestão de documentos digitais arquivísticos: princípios teóricos, funções e técnicas;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Sistemas informatizados de gestão arquivística de documentos (digitais e não digitais);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Serviço de protocolo e fluxo documental: documentos digitais e não digitais;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Sistemas integrados de gestão do tipo ERP (Enterprise Resource Planning) e a gestão de documentos arquivísticos;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Gestão de documentos e registros digitais: gênese ao repositório digital confiável.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Presidente da Comissão: Profa. Dra. Julianne Teixeira e Silva – UFPB/DCI; </w:t>
            </w:r>
            <w:r>
              <w:rPr/>
              <w:t>1º membro externo: Prof. Dr. Welder Antônio Silva – UFMG; 2º membro externo: Prof. Dr. Derek Warwick Tavares - UFBA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Suplente Interno: Profa. Dra. Luciana Ferreira Costa – UFPB/DCI; </w:t>
            </w:r>
            <w:r>
              <w:rPr/>
              <w:t>1º Suplente externo: Prof. Dr. Josemar Henrique de Melo – UEPB; 2º Suplente externo: Profa. Dra. Priscila Ribeiro Gomes - UNIRIO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CCSA – Departamento de </w:t>
            </w:r>
            <w:r>
              <w:rPr>
                <w:rFonts w:eastAsia="Calibri"/>
                <w:b/>
                <w:sz w:val="22"/>
                <w:szCs w:val="22"/>
              </w:rPr>
              <w:t>Administração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Área: </w:t>
            </w:r>
            <w:r>
              <w:rPr>
                <w:rFonts w:eastAsia="Calibri" w:cs="Calibri" w:ascii="Calibri" w:hAnsi="Calibri"/>
                <w:b w:val="false"/>
                <w:bCs w:val="false"/>
                <w:sz w:val="24"/>
                <w:szCs w:val="24"/>
                <w:lang w:val="pt-BR"/>
              </w:rPr>
              <w:t>Finanças e Consultoria Organizacional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Teoria da Estrutura de Capital: Abordagem Tradicional X Modigliani e Miller;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02. Teoria de Seleção de Portfólios e o Modelo de Markowitz;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03. Modelos de Precificação de Ativos: CAPM, APT e Modelos Multifatoriais;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04. Modelos de Volatilidade de Ativos Financeiros: ARCH, GARCH, e suas Extensões; 05. Value at Risk;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06. Modelo de Previsão em Finanças: Alisamento Exponencial X ARIMA;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07. Precificação das Opções de Ações e o Modelo de Black e Scholes;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08. O processo de Consultoria Organizacional: Etapas, Métodos e Ferramentas;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09. Métodos e Técnicas para Formulação do Diagnostico Organizacional;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10. Gestão de Projetos de Consultoria.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Prof. Dr. Francisco José da Costa (Presidente – UFPB); </w:t>
            </w:r>
            <w:r>
              <w:rPr/>
              <w:t>Prof. Dr. Antônio André Cunha Callado (UFRPE); Prof. Dr. Marcos Roberto Gois de Oliveira Macedo (UFPE).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Prof. Dr. Márcio André Veras Machado (UFPB); </w:t>
            </w:r>
            <w:r>
              <w:rPr/>
              <w:t>Prof. Dr. Adriano Leal Bruni (UFBA); Prof. Dr. Vinícius Gomes Martins (UFPE).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CT – Departamento de Arquitetura e urbanismo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História, Teoria e Projeto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Historiografia da arquitetura moderna: gênesis teóricas, discursos críticos e especificidades contextuais.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Habitação social como metáfora da modernidade e as contraposições com o debate contemporâneo.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Arquitetura, colonialismos e nacionalismos na virada do século XIX ao XX e as diferentes experiências na América Latina.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Processos de modernização das cidades: contrapontos e convergências entre as experiências internacionais e latino-americanas.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Os grandes equipamentos – cidades universitárias; centros cívicos; centros de comércio e serviço; infraestrutura urbana – como instrumentos de transformação urbana no contexto das cidades latino-americanas.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Abordagens contemporâneas de ensino, considerando as interfaces entre história, teoria e projeto.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Teoria e prática no contexto do século XXI na promoção de novas espacialidades, em resposta às transformações sociais, políticas e culturais.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Teoria e crítica do projeto no contexto das preexistências urbanas.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Diferentes escalas de intervenção nas práticas contemporâneas de arquitetura e urbanismo.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10. A crise da arquitetura moderna: as primeiras contestações, as propostas de revisão e sua crítica.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Mariana Fialho Bonates (UFPB) – Presidente; Rubenilson Brazão Teixeira (UFRN); Francisco Sales Trajano Filho (USP);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Maria Berthilde Moura Filha (UFPB);Edja Bezerra Faria Trigueiro (UFRN) – Suplente; Fernando Diniz Moreira (UFPE)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bCs w:val="false"/>
                <w:sz w:val="22"/>
                <w:szCs w:val="22"/>
              </w:rPr>
            </w:pPr>
            <w:r>
              <w:rPr>
                <w:rFonts w:eastAsia="Calibri"/>
                <w:b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bCs w:val="false"/>
                <w:sz w:val="22"/>
                <w:szCs w:val="22"/>
              </w:rPr>
              <w:t>Área: Projeto e Expressão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01. Teorias e métodos de projeto aplicados ao ensino e prática do projeto de arquitetura e urbanismo;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02. Procedimentos de análise e avaliação de projetos de arquitetura e urbanismo no contexto do processo ensino-aprendizado;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03. Relação entre as ferramentas com tecnologia BIM e o processo projetual;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04. Métodos e processos integrados aplicados a projetos de arquitetura e urbanismo;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05. Ferramentas de expressão e representação de ideias, do conceito ao projeto executivo;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06. Ferramentas de concepção e suas implicações no processo projetual de arquitetura e urbanismo;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07. Das ferramentas de concepção às ferramentas de pós-produção: a apresentação de projetos, impressão e publicação em meio digital;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08. Modelos paramétricos e algorítmicos: impactos no processo de concepção arquitetônica;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09. Atelier integrado de projetos: ferramentas, técnicas e produtos;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10. Integração das múltiplas técnicas de prototipagem rápida no processo de projeto de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Carlos Alejandro Nome Silva (UFPB); Arivaldo Leão de Amorim (UFBA); Frederico Braida Rodrigues de Paula (UFJF)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Aristóteles Cordeiro (UFPB); Mauro Normando Macedo Barros (UFCG); Natalie Johanna Groetelaars (UFBA)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/>
                <w:bCs w:val="false"/>
                <w:sz w:val="22"/>
                <w:szCs w:val="22"/>
              </w:rPr>
              <w:t xml:space="preserve">Área: Projeto e Tecnologia da </w:t>
            </w:r>
            <w:r>
              <w:rPr>
                <w:rFonts w:eastAsia="Calibri"/>
                <w:b/>
                <w:bCs/>
                <w:sz w:val="22"/>
                <w:szCs w:val="22"/>
              </w:rPr>
              <w:t>Arquitetura e Urbanismo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/>
                <w:sz w:val="22"/>
                <w:szCs w:val="22"/>
              </w:rPr>
              <w:t>01. Sistemas construtivos contemporâneos e vernaculares e suas implicações no processo de projeto de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02. Técnicas e ferramentas para o desenvolvimento de projetos integrados de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03. Modelagem e simulação de desempenho estrutural nas primeiras fases do projeto arquitetônico.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04. Processos de modelagem informacional integrada à concepção de projetos em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05. Integração de sistemas prediais, domótica e internet das coisas na concepção de projetos de arquitetura.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06. Sustentabilidade no contexto de processos contemporâneos da indústria da Arquitetura, Engenharia, Construção e Operação.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07. Bioclimatismo associado à produção de arquitetura contemporânea nos trópicos.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08. Simulações simplificadas de desempenho do ambiente construído no processo projetual de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09. Atelier integrado de projetos: ferramentas, técnicas e produtos.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10. Prototipagem rápida e fabricação digital nos processos contemporâneos de projeto de arquitetura e urbanismo.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Dra. Amélia de Farias Panet Barros (UFPB) Presidente; </w:t>
            </w:r>
            <w:r>
              <w:rPr/>
              <w:t>Dra. Maria Luiza de Freitas (UFPE) _ Membro Externo; Dra. Bianca Carla Dantas de Araújo (UFRN) _ Membro Externo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Dra. Germana Costa Rocha (UFPB); </w:t>
            </w:r>
            <w:r>
              <w:rPr/>
              <w:t>Dr. Fúlvio Teixeira de Barros Pereira (UFCG); Dr. Fernando Freitas Fuão (UFRGS)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CCTA – Departamento de Artes Cênicas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Teatro na Educação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Abordagens metodológicas no ensino de Teatro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02. Educação inclusiva, acessibilidade e o ensino de Teatro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03. A importância do Estágio Supervisionado em Teatro na formação discente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04. Ética, legislação e as mudanças dos paradigmas do ensino de Teatro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05. Processos de encenação e Pedagogia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06. Teatro do Oprimido como prática pedagógica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07. Pedagogia da cena contemporânea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08. Planejamento e avaliação no ensino de teatro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09. O Teatro na formação de professores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10. Ensino de Teatro na educação infantil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Profª Drª Márcia Chiamulera (UFPB); </w:t>
            </w:r>
            <w:r>
              <w:rPr/>
              <w:t>Profª Drª Ingrid Dormien Koudela (USP); Profª Drª Luciana Hartmann (UNB)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Profª Drª Paula Alves Barbosa Coelho (UFPB); </w:t>
            </w:r>
            <w:r>
              <w:rPr/>
              <w:t xml:space="preserve">Prof. Dr. José Sávio Oliveira De Araújo (UFRN); Prof. Dr. José Simões de Almeida Junior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Área: Percussão Popular, Música </w:t>
            </w:r>
            <w:r>
              <w:rPr>
                <w:b/>
                <w:bCs/>
              </w:rPr>
              <w:t>Popular e Educação Musical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 percussão na música brasileira popular: aspectos históricos, principais tendências e características atuais.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02. A percussão em gêneros representativos na música popular do Nordeste.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03. Percussão, música e performance na cultura popular: coco, embolada, maracatu, ciranda, entre outros.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04. Aspectos técnicos e dimensões práticas da percussão na música brasileira popular.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05. A percussão na música afro-brasileira e indígena do Brasil.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06. Pesquisa em percussão popular no Brasil: estado do conhecimento e possibilidades investigativas para o futuro.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07. Pedagogia e performance da percussão popular: lacunas, possibilidades e perspectivas para o ensino superior em música.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08. Materiais didáticos para o ensino da percussão popular: limites e alternativas no cenário brasileiro.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 xml:space="preserve">09. A percussão popular como perspectiva metodológica para prática do professor de música. 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jc w:val="left"/>
              <w:rPr/>
            </w:pPr>
            <w:r>
              <w:rPr/>
              <w:t>10. Das pesquisas à prática: o uso dos estudos e materiais produzidos sobre percussão popular na formação do percussionista.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Titulares: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Prof. Dr. Luis Ricardo Silva Queiroz (UFPB); </w:t>
            </w:r>
            <w:r>
              <w:rPr/>
              <w:t>Profa. Dra. Germanna França da Cunha (UFRN); Prof. Dr. Cleber da Silveira Campos (UFRN)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Suplentes: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Prof. Dr. Vanildo Mousinho Marinho (UFPB); </w:t>
            </w:r>
            <w:r>
              <w:rPr/>
              <w:t>Prof. Dr. Jean Joubert Freitas Mendes (UFRN); Prof. Dr. Jorge Luis Sacramento de Almeida (UFBA)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CAMPUS III -  BANANEIRAS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CCA – Departamento de Zootecnia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Área: Produção de Ruminantes</w:t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/>
              <w:ind w:left="0" w:right="0" w:hanging="0"/>
              <w:rPr/>
            </w:pPr>
            <w:r>
              <w:rPr>
                <w:rFonts w:eastAsia="Calibri"/>
                <w:b/>
                <w:sz w:val="22"/>
                <w:szCs w:val="22"/>
              </w:rPr>
              <w:t>Conteúdo: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>
                <w:rFonts w:eastAsia="Calibri"/>
                <w:sz w:val="22"/>
                <w:szCs w:val="22"/>
                <w:lang w:eastAsia="pt-BR"/>
              </w:rPr>
              <w:t>01. Avaliação da composição corporal de ruminantes por meio de análise de imagens;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02. Ferramentas de automatização aplicadas à bioclimatologia e comportamento de ruminantes;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03. Integração de ômicas na produção de ruminantes;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04. Monitoramento automatizado e análise de dados do desempenho e da eficiência de ruminantes;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05. Nutrição de precisão para ruminantes;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06. Sistema de integração lavoura-pecuária-floresta para ruminantes;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07. Sistemas de produção de grandes ruminantes no contexto da eficiência zootécnica e sustentabilidade;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08. Sistemas de produção de pequenos ruminantes no contexto da eficiência zootécnica e sustentabilidade;</w:t>
            </w:r>
          </w:p>
          <w:p>
            <w:pPr>
              <w:pStyle w:val="PargrafodaLista"/>
              <w:numPr>
                <w:ilvl w:val="0"/>
                <w:numId w:val="0"/>
              </w:numPr>
              <w:spacing w:lineRule="auto" w:line="240" w:before="0" w:after="160"/>
              <w:ind w:left="720" w:right="0" w:hanging="0"/>
              <w:contextualSpacing/>
              <w:rPr/>
            </w:pPr>
            <w:r>
              <w:rPr/>
              <w:t>09. Rastreabilidade em sistemas de produção de ruminantes.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Referência: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NÃO HÁ INDICAÇÕES.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186" w:hRule="atLeast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>Comissão Examinadora: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Titulares: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Prof. Marcos Eli Buzankas - UFPB/CCA (Presidente), Prof. Marcos Paulo Carrera Menezes - UFPB/CCHSA (Membro), Prof. João Paulo Ismério dos Santos Monnerat – UFRPE (Membro)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b/>
                <w:sz w:val="22"/>
                <w:szCs w:val="22"/>
              </w:rPr>
              <w:t xml:space="preserve">Suplentes: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Prof. Airton Aparecido Silva de Melo – UFRPE/UAG (Suplente), Prof. Tadeu Vinhas Votolini – EMBRAPA/SEMIÁRIDO (Suplente) e Prof. Mário Adriano Ávila Queiroz – UNIVASF (Suplente).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42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widowControl/>
      <w:tabs>
        <w:tab w:val="center" w:pos="4252" w:leader="none"/>
        <w:tab w:val="right" w:pos="8504" w:leader="none"/>
      </w:tabs>
      <w:suppressAutoHyphens w:val="true"/>
      <w:bidi w:val="0"/>
      <w:spacing w:lineRule="auto" w:line="240" w:before="0" w:after="0"/>
      <w:ind w:left="0" w:right="0" w:hanging="993"/>
      <w:jc w:val="left"/>
      <w:rPr/>
    </w:pPr>
    <w:r>
      <w:rPr>
        <w:rFonts w:eastAsia="Calibri" w:cs="Calibri" w:ascii="Calibri" w:hAnsi="Calibri"/>
        <w:color w:val="000000"/>
        <w:kern w:val="0"/>
        <w:sz w:val="16"/>
        <w:lang w:val="pt-BR" w:eastAsia="pt-BR"/>
      </w:rPr>
      <w:t>Publicado no DOU nº 158 em 16/08/2019, Seção 03, págs. 78 a 81.</w:t>
    </w:r>
  </w:p>
  <w:p>
    <w:pPr>
      <w:pStyle w:val="Cabealho"/>
      <w:widowControl/>
      <w:tabs>
        <w:tab w:val="center" w:pos="4252" w:leader="none"/>
        <w:tab w:val="right" w:pos="8504" w:leader="none"/>
      </w:tabs>
      <w:suppressAutoHyphens w:val="true"/>
      <w:bidi w:val="0"/>
      <w:spacing w:lineRule="auto" w:line="240" w:before="0" w:after="0"/>
      <w:jc w:val="left"/>
      <w:rPr>
        <w:rFonts w:ascii="Times New Roman" w:hAnsi="Times New Roman" w:eastAsia="Times New Roman"/>
        <w:color w:val="000000"/>
        <w:kern w:val="0"/>
        <w:sz w:val="24"/>
        <w:lang w:val="pt-BR" w:eastAsia="pt-BR"/>
      </w:rPr>
    </w:pPr>
    <w:r>
      <w:rPr>
        <w:rFonts w:eastAsia="Times New Roman"/>
        <w:color w:val="000000"/>
        <w:kern w:val="0"/>
        <w:sz w:val="24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382"/>
        </w:tabs>
        <w:ind w:left="1382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742"/>
        </w:tabs>
        <w:ind w:left="1742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02"/>
        </w:tabs>
        <w:ind w:left="210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462"/>
        </w:tabs>
        <w:ind w:left="2462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22"/>
        </w:tabs>
        <w:ind w:left="2822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542"/>
        </w:tabs>
        <w:ind w:left="3542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02"/>
        </w:tabs>
        <w:ind w:left="3902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0"/>
      <w:sz w:val="22"/>
      <w:szCs w:val="24"/>
      <w:lang w:val="pt-BR" w:eastAsia="hi-IN" w:bidi="hi-IN"/>
    </w:rPr>
  </w:style>
  <w:style w:type="paragraph" w:styleId="Ttulo1">
    <w:name w:val="Heading 1"/>
    <w:basedOn w:val="Normal"/>
    <w:qFormat/>
    <w:pPr>
      <w:keepNext w:val="true"/>
      <w:widowControl/>
      <w:suppressAutoHyphens w:val="true"/>
      <w:bidi w:val="0"/>
      <w:spacing w:lineRule="auto" w:line="240" w:before="240" w:after="60"/>
      <w:jc w:val="left"/>
    </w:pPr>
    <w:rPr>
      <w:rFonts w:ascii="Cambria" w:hAnsi="Cambria" w:eastAsia="Liberation Serif"/>
      <w:b/>
      <w:color w:val="000000"/>
      <w:kern w:val="2"/>
      <w:sz w:val="32"/>
      <w:lang w:val="pt-BR" w:eastAsia="pt-BR"/>
    </w:rPr>
  </w:style>
  <w:style w:type="paragraph" w:styleId="Ttulo2">
    <w:name w:val="Heading 2"/>
    <w:basedOn w:val="Normal"/>
    <w:qFormat/>
    <w:pPr>
      <w:keepNext w:val="true"/>
      <w:widowControl/>
      <w:suppressAutoHyphens w:val="true"/>
      <w:bidi w:val="0"/>
      <w:spacing w:lineRule="auto" w:line="240" w:before="240" w:after="60"/>
      <w:jc w:val="left"/>
    </w:pPr>
    <w:rPr>
      <w:rFonts w:ascii="Cambria" w:hAnsi="Cambria" w:eastAsia="Liberation Serif"/>
      <w:b/>
      <w:i/>
      <w:color w:val="000000"/>
      <w:kern w:val="0"/>
      <w:sz w:val="28"/>
      <w:lang w:val="pt-BR"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ahoma"/>
      <w:sz w:val="16"/>
    </w:rPr>
  </w:style>
  <w:style w:type="character" w:styleId="TextosemFormataoChar">
    <w:name w:val="Texto sem Formatação Char"/>
    <w:basedOn w:val="DefaultParagraphFont"/>
    <w:qFormat/>
    <w:rPr>
      <w:rFonts w:ascii="Courier New" w:hAnsi="Courier New" w:eastAsia="Courier New"/>
      <w:sz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/>
      <w:sz w:val="24"/>
    </w:rPr>
  </w:style>
  <w:style w:type="character" w:styleId="Recuodecorpodetexto2Char">
    <w:name w:val="Recuo de corpo de texto 2 Char"/>
    <w:basedOn w:val="DefaultParagraphFont"/>
    <w:qFormat/>
    <w:rPr>
      <w:rFonts w:ascii="Times New Roman" w:hAnsi="Times New Roman" w:eastAsia="Times New Roman"/>
      <w:sz w:val="24"/>
      <w:lang w:eastAsia="pt-BR"/>
    </w:rPr>
  </w:style>
  <w:style w:type="character" w:styleId="SubttuloChar">
    <w:name w:val="Subtítulo Char"/>
    <w:basedOn w:val="DefaultParagraphFont"/>
    <w:qFormat/>
    <w:rPr>
      <w:rFonts w:ascii="Arial" w:hAnsi="Arial" w:eastAsia="Times New Roman"/>
      <w:b/>
      <w:sz w:val="36"/>
    </w:rPr>
  </w:style>
  <w:style w:type="character" w:styleId="Appleconvertedspace">
    <w:name w:val="apple-converted-space"/>
    <w:qFormat/>
    <w:rPr/>
  </w:style>
  <w:style w:type="character" w:styleId="Strong">
    <w:name w:val="Strong"/>
    <w:qFormat/>
    <w:rPr>
      <w:b/>
    </w:rPr>
  </w:style>
  <w:style w:type="character" w:styleId="Productcode">
    <w:name w:val="productcode"/>
    <w:qFormat/>
    <w:rPr/>
  </w:style>
  <w:style w:type="character" w:styleId="Googqstidbitgoogqstidbit0">
    <w:name w:val="goog_qs-tidbit goog_qs-tidbit-0"/>
    <w:qFormat/>
    <w:rPr/>
  </w:style>
  <w:style w:type="character" w:styleId="Ttulo1Char">
    <w:name w:val="Título 1 Char"/>
    <w:basedOn w:val="DefaultParagraphFont"/>
    <w:qFormat/>
    <w:rPr>
      <w:rFonts w:ascii="Cambria" w:hAnsi="Cambria" w:eastAsia="Times New Roman"/>
      <w:b/>
      <w:kern w:val="2"/>
      <w:sz w:val="32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/>
      <w:sz w:val="24"/>
    </w:rPr>
  </w:style>
  <w:style w:type="character" w:styleId="RodapChar">
    <w:name w:val="Rodapé Char"/>
    <w:basedOn w:val="DefaultParagraphFont"/>
    <w:qFormat/>
    <w:rPr/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character" w:styleId="Spellingerror">
    <w:name w:val="spellingerror"/>
    <w:qFormat/>
    <w:rPr/>
  </w:style>
  <w:style w:type="character" w:styleId="Ttulo2Char">
    <w:name w:val="Título 2 Char"/>
    <w:basedOn w:val="DefaultParagraphFont"/>
    <w:qFormat/>
    <w:rPr>
      <w:rFonts w:ascii="Cambria" w:hAnsi="Cambria" w:eastAsia="Times New Roman"/>
      <w:b/>
      <w:i/>
      <w:sz w:val="28"/>
    </w:rPr>
  </w:style>
  <w:style w:type="character" w:styleId="RecuodecorpodetextoChar">
    <w:name w:val="Recuo de corpo de texto Char"/>
    <w:basedOn w:val="DefaultParagraphFont"/>
    <w:qFormat/>
    <w:rPr>
      <w:rFonts w:ascii="Times New Roman" w:hAnsi="Times New Roman" w:eastAsia="Times New Roman"/>
      <w:sz w:val="24"/>
      <w:lang w:eastAsia="pt-BR"/>
    </w:rPr>
  </w:style>
  <w:style w:type="character" w:styleId="ListLabel1">
    <w:name w:val="ListLabel 1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Courier New"/>
    </w:rPr>
  </w:style>
  <w:style w:type="character" w:styleId="ListLabel15">
    <w:name w:val="ListLabel 15"/>
    <w:qFormat/>
    <w:rPr>
      <w:rFonts w:eastAsia="Courier New"/>
    </w:rPr>
  </w:style>
  <w:style w:type="character" w:styleId="ListLabel16">
    <w:name w:val="ListLabel 16"/>
    <w:qFormat/>
    <w:rPr>
      <w:rFonts w:eastAsia="Courier New"/>
    </w:rPr>
  </w:style>
  <w:style w:type="character" w:styleId="ListLabel17">
    <w:name w:val="ListLabel 17"/>
    <w:qFormat/>
    <w:rPr>
      <w:sz w:val="24"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rFonts w:eastAsia="Courier New"/>
    </w:rPr>
  </w:style>
  <w:style w:type="character" w:styleId="ListLabel20">
    <w:name w:val="ListLabel 20"/>
    <w:qFormat/>
    <w:rPr>
      <w:rFonts w:eastAsia="Courier New"/>
    </w:rPr>
  </w:style>
  <w:style w:type="character" w:styleId="ListLabel21">
    <w:name w:val="ListLabel 21"/>
    <w:qFormat/>
    <w:rPr>
      <w:rFonts w:eastAsia="Courier New"/>
    </w:rPr>
  </w:style>
  <w:style w:type="character" w:styleId="ListLabel22">
    <w:name w:val="ListLabel 22"/>
    <w:qFormat/>
    <w:rPr>
      <w:b w:val="false"/>
      <w:i w:val="false"/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b w:val="false"/>
      <w:i w:val="false"/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rFonts w:eastAsia="Arial"/>
    </w:rPr>
  </w:style>
  <w:style w:type="character" w:styleId="ListLabel39">
    <w:name w:val="ListLabel 39"/>
    <w:qFormat/>
    <w:rPr>
      <w:rFonts w:eastAsia="Courier New"/>
    </w:rPr>
  </w:style>
  <w:style w:type="character" w:styleId="ListLabel40">
    <w:name w:val="ListLabel 40"/>
    <w:qFormat/>
    <w:rPr>
      <w:rFonts w:eastAsia="Courier New"/>
    </w:rPr>
  </w:style>
  <w:style w:type="character" w:styleId="ListLabel41">
    <w:name w:val="ListLabel 41"/>
    <w:qFormat/>
    <w:rPr>
      <w:rFonts w:eastAsia="Courier New"/>
    </w:rPr>
  </w:style>
  <w:style w:type="character" w:styleId="WW8Num2z0">
    <w:name w:val="WW8Num2z0"/>
    <w:qFormat/>
    <w:rPr>
      <w:lang w:eastAsia="en-US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Marcas">
    <w:name w:val="Marcas"/>
    <w:qFormat/>
    <w:rPr>
      <w:rFonts w:ascii="OpenSymbol" w:hAnsi="OpenSymbol" w:eastAsia="OpenSymbol"/>
    </w:rPr>
  </w:style>
  <w:style w:type="character" w:styleId="ListLabel42">
    <w:name w:val="ListLabel 42"/>
    <w:qFormat/>
    <w:rPr>
      <w:rFonts w:eastAsia="OpenSymbol"/>
      <w:b w:val="false"/>
      <w:sz w:val="18"/>
    </w:rPr>
  </w:style>
  <w:style w:type="character" w:styleId="ListLabel43">
    <w:name w:val="ListLabel 43"/>
    <w:qFormat/>
    <w:rPr>
      <w:rFonts w:eastAsia="OpenSymbol"/>
    </w:rPr>
  </w:style>
  <w:style w:type="character" w:styleId="ListLabel44">
    <w:name w:val="ListLabel 44"/>
    <w:qFormat/>
    <w:rPr>
      <w:rFonts w:eastAsia="OpenSymbol"/>
    </w:rPr>
  </w:style>
  <w:style w:type="character" w:styleId="ListLabel45">
    <w:name w:val="ListLabel 45"/>
    <w:qFormat/>
    <w:rPr>
      <w:rFonts w:eastAsia="OpenSymbol"/>
    </w:rPr>
  </w:style>
  <w:style w:type="character" w:styleId="ListLabel46">
    <w:name w:val="ListLabel 46"/>
    <w:qFormat/>
    <w:rPr>
      <w:rFonts w:eastAsia="OpenSymbol"/>
    </w:rPr>
  </w:style>
  <w:style w:type="character" w:styleId="ListLabel47">
    <w:name w:val="ListLabel 47"/>
    <w:qFormat/>
    <w:rPr>
      <w:rFonts w:eastAsia="OpenSymbol"/>
    </w:rPr>
  </w:style>
  <w:style w:type="character" w:styleId="ListLabel48">
    <w:name w:val="ListLabel 48"/>
    <w:qFormat/>
    <w:rPr>
      <w:rFonts w:eastAsia="OpenSymbol"/>
    </w:rPr>
  </w:style>
  <w:style w:type="character" w:styleId="ListLabel49">
    <w:name w:val="ListLabel 49"/>
    <w:qFormat/>
    <w:rPr>
      <w:rFonts w:eastAsia="OpenSymbol"/>
    </w:rPr>
  </w:style>
  <w:style w:type="character" w:styleId="ListLabel50">
    <w:name w:val="ListLabel 50"/>
    <w:qFormat/>
    <w:rPr>
      <w:rFonts w:eastAsia="OpenSymbol"/>
    </w:rPr>
  </w:style>
  <w:style w:type="character" w:styleId="ListLabel51">
    <w:name w:val="ListLabel 51"/>
    <w:qFormat/>
    <w:rPr>
      <w:rFonts w:eastAsia="OpenSymbol"/>
      <w:sz w:val="18"/>
    </w:rPr>
  </w:style>
  <w:style w:type="character" w:styleId="ListLabel52">
    <w:name w:val="ListLabel 52"/>
    <w:qFormat/>
    <w:rPr>
      <w:rFonts w:eastAsia="OpenSymbol"/>
    </w:rPr>
  </w:style>
  <w:style w:type="character" w:styleId="ListLabel53">
    <w:name w:val="ListLabel 53"/>
    <w:qFormat/>
    <w:rPr>
      <w:rFonts w:eastAsia="OpenSymbol"/>
    </w:rPr>
  </w:style>
  <w:style w:type="character" w:styleId="ListLabel54">
    <w:name w:val="ListLabel 54"/>
    <w:qFormat/>
    <w:rPr>
      <w:rFonts w:eastAsia="OpenSymbol"/>
    </w:rPr>
  </w:style>
  <w:style w:type="character" w:styleId="ListLabel55">
    <w:name w:val="ListLabel 55"/>
    <w:qFormat/>
    <w:rPr>
      <w:rFonts w:eastAsia="OpenSymbol"/>
    </w:rPr>
  </w:style>
  <w:style w:type="character" w:styleId="ListLabel56">
    <w:name w:val="ListLabel 56"/>
    <w:qFormat/>
    <w:rPr>
      <w:rFonts w:eastAsia="OpenSymbol"/>
    </w:rPr>
  </w:style>
  <w:style w:type="character" w:styleId="ListLabel57">
    <w:name w:val="ListLabel 57"/>
    <w:qFormat/>
    <w:rPr>
      <w:rFonts w:eastAsia="OpenSymbol"/>
    </w:rPr>
  </w:style>
  <w:style w:type="character" w:styleId="ListLabel58">
    <w:name w:val="ListLabel 58"/>
    <w:qFormat/>
    <w:rPr>
      <w:rFonts w:eastAsia="OpenSymbol"/>
    </w:rPr>
  </w:style>
  <w:style w:type="character" w:styleId="ListLabel59">
    <w:name w:val="ListLabel 59"/>
    <w:qFormat/>
    <w:rPr>
      <w:rFonts w:eastAsia="OpenSymbol"/>
    </w:rPr>
  </w:style>
  <w:style w:type="character" w:styleId="ListLabel60">
    <w:name w:val="ListLabel 60"/>
    <w:qFormat/>
    <w:rPr>
      <w:rFonts w:eastAsia="OpenSymbol"/>
      <w:b w:val="false"/>
      <w:sz w:val="18"/>
    </w:rPr>
  </w:style>
  <w:style w:type="character" w:styleId="ListLabel61">
    <w:name w:val="ListLabel 61"/>
    <w:qFormat/>
    <w:rPr>
      <w:rFonts w:eastAsia="OpenSymbol"/>
    </w:rPr>
  </w:style>
  <w:style w:type="character" w:styleId="ListLabel62">
    <w:name w:val="ListLabel 62"/>
    <w:qFormat/>
    <w:rPr>
      <w:rFonts w:eastAsia="OpenSymbol"/>
    </w:rPr>
  </w:style>
  <w:style w:type="character" w:styleId="ListLabel63">
    <w:name w:val="ListLabel 63"/>
    <w:qFormat/>
    <w:rPr>
      <w:rFonts w:eastAsia="OpenSymbol"/>
    </w:rPr>
  </w:style>
  <w:style w:type="character" w:styleId="ListLabel64">
    <w:name w:val="ListLabel 64"/>
    <w:qFormat/>
    <w:rPr>
      <w:rFonts w:eastAsia="OpenSymbol"/>
    </w:rPr>
  </w:style>
  <w:style w:type="character" w:styleId="ListLabel65">
    <w:name w:val="ListLabel 65"/>
    <w:qFormat/>
    <w:rPr>
      <w:rFonts w:eastAsia="OpenSymbol"/>
    </w:rPr>
  </w:style>
  <w:style w:type="character" w:styleId="ListLabel66">
    <w:name w:val="ListLabel 66"/>
    <w:qFormat/>
    <w:rPr>
      <w:rFonts w:eastAsia="OpenSymbol"/>
    </w:rPr>
  </w:style>
  <w:style w:type="character" w:styleId="ListLabel67">
    <w:name w:val="ListLabel 67"/>
    <w:qFormat/>
    <w:rPr>
      <w:rFonts w:eastAsia="OpenSymbol"/>
    </w:rPr>
  </w:style>
  <w:style w:type="character" w:styleId="ListLabel68">
    <w:name w:val="ListLabel 68"/>
    <w:qFormat/>
    <w:rPr>
      <w:rFonts w:eastAsia="OpenSymbol"/>
    </w:rPr>
  </w:style>
  <w:style w:type="character" w:styleId="ListLabel69">
    <w:name w:val="ListLabel 69"/>
    <w:qFormat/>
    <w:rPr>
      <w:rFonts w:eastAsia="OpenSymbol"/>
      <w:sz w:val="18"/>
    </w:rPr>
  </w:style>
  <w:style w:type="character" w:styleId="ListLabel70">
    <w:name w:val="ListLabel 70"/>
    <w:qFormat/>
    <w:rPr>
      <w:rFonts w:eastAsia="OpenSymbol"/>
    </w:rPr>
  </w:style>
  <w:style w:type="character" w:styleId="ListLabel71">
    <w:name w:val="ListLabel 71"/>
    <w:qFormat/>
    <w:rPr>
      <w:rFonts w:eastAsia="OpenSymbol"/>
    </w:rPr>
  </w:style>
  <w:style w:type="character" w:styleId="ListLabel72">
    <w:name w:val="ListLabel 72"/>
    <w:qFormat/>
    <w:rPr>
      <w:rFonts w:eastAsia="OpenSymbol"/>
    </w:rPr>
  </w:style>
  <w:style w:type="character" w:styleId="ListLabel73">
    <w:name w:val="ListLabel 73"/>
    <w:qFormat/>
    <w:rPr>
      <w:rFonts w:eastAsia="OpenSymbol"/>
    </w:rPr>
  </w:style>
  <w:style w:type="character" w:styleId="ListLabel74">
    <w:name w:val="ListLabel 74"/>
    <w:qFormat/>
    <w:rPr>
      <w:rFonts w:eastAsia="OpenSymbol"/>
    </w:rPr>
  </w:style>
  <w:style w:type="character" w:styleId="ListLabel75">
    <w:name w:val="ListLabel 75"/>
    <w:qFormat/>
    <w:rPr>
      <w:rFonts w:eastAsia="OpenSymbol"/>
    </w:rPr>
  </w:style>
  <w:style w:type="character" w:styleId="ListLabel76">
    <w:name w:val="ListLabel 76"/>
    <w:qFormat/>
    <w:rPr>
      <w:rFonts w:eastAsia="OpenSymbol"/>
    </w:rPr>
  </w:style>
  <w:style w:type="character" w:styleId="ListLabel77">
    <w:name w:val="ListLabel 77"/>
    <w:qFormat/>
    <w:rPr>
      <w:rFonts w:eastAsia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 w:val="true"/>
      <w:widowControl/>
      <w:suppressAutoHyphens w:val="true"/>
      <w:bidi w:val="0"/>
      <w:spacing w:lineRule="auto" w:line="276" w:before="240" w:after="120"/>
      <w:jc w:val="left"/>
    </w:pPr>
    <w:rPr>
      <w:rFonts w:ascii="Liberation Sans" w:hAnsi="Liberation Sans" w:eastAsia="Liberation Serif"/>
      <w:color w:val="000000"/>
      <w:kern w:val="0"/>
      <w:sz w:val="28"/>
      <w:lang w:val="pt-BR" w:eastAsia="pt-BR"/>
    </w:rPr>
  </w:style>
  <w:style w:type="paragraph" w:styleId="Corpodetexto">
    <w:name w:val="Body Text"/>
    <w:basedOn w:val="Normal"/>
    <w:pPr>
      <w:widowControl/>
      <w:tabs>
        <w:tab w:val="left" w:pos="709" w:leader="none"/>
      </w:tabs>
      <w:suppressAutoHyphens w:val="true"/>
      <w:bidi w:val="0"/>
      <w:spacing w:lineRule="auto" w:line="312" w:before="0" w:after="0"/>
      <w:jc w:val="both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Lista">
    <w:name w:val="List"/>
    <w:basedOn w:val="Corpodetexto"/>
    <w:pPr>
      <w:widowControl/>
      <w:tabs>
        <w:tab w:val="left" w:pos="709" w:leader="none"/>
      </w:tabs>
      <w:suppressAutoHyphens w:val="true"/>
      <w:bidi w:val="0"/>
      <w:spacing w:lineRule="auto" w:line="312" w:before="0" w:after="0"/>
      <w:jc w:val="both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Legenda">
    <w:name w:val="Caption"/>
    <w:basedOn w:val="Normal"/>
    <w:qFormat/>
    <w:pPr>
      <w:widowControl/>
      <w:suppressAutoHyphens w:val="true"/>
      <w:bidi w:val="0"/>
      <w:spacing w:lineRule="auto" w:line="276" w:before="120" w:after="120"/>
      <w:jc w:val="left"/>
    </w:pPr>
    <w:rPr>
      <w:rFonts w:ascii="Calibri" w:hAnsi="Calibri" w:eastAsia="Liberation Serif"/>
      <w:i/>
      <w:color w:val="000000"/>
      <w:kern w:val="0"/>
      <w:sz w:val="24"/>
      <w:lang w:val="pt-BR" w:eastAsia="pt-BR"/>
    </w:rPr>
  </w:style>
  <w:style w:type="paragraph" w:styleId="Ndice">
    <w:name w:val="Índice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/>
      <w:color w:val="000000"/>
      <w:kern w:val="0"/>
      <w:sz w:val="22"/>
      <w:lang w:val="pt-BR" w:eastAsia="pt-BR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Liberation Serif"/>
      <w:color w:val="000000"/>
      <w:kern w:val="0"/>
      <w:sz w:val="16"/>
      <w:lang w:val="pt-BR" w:eastAsia="pt-BR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lineRule="auto" w:line="276" w:before="0" w:after="200"/>
      <w:ind w:left="720" w:right="0" w:hanging="0"/>
      <w:contextualSpacing/>
      <w:jc w:val="left"/>
    </w:pPr>
    <w:rPr>
      <w:rFonts w:ascii="Calibri" w:hAnsi="Calibri" w:eastAsia="Liberation Serif"/>
      <w:color w:val="000000"/>
      <w:kern w:val="0"/>
      <w:sz w:val="22"/>
      <w:lang w:val="pt-BR" w:eastAsia="pt-BR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Liberation Serif" w:cs="Liberation Serif"/>
      <w:color w:val="000000"/>
      <w:kern w:val="0"/>
      <w:sz w:val="24"/>
      <w:szCs w:val="24"/>
      <w:lang w:val="pt-BR" w:eastAsia="hi-IN" w:bidi="hi-IN"/>
    </w:rPr>
  </w:style>
  <w:style w:type="paragraph" w:styleId="PlainText">
    <w:name w:val="Plain Text"/>
    <w:basedOn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Liberation Serif"/>
      <w:color w:val="000000"/>
      <w:kern w:val="0"/>
      <w:sz w:val="20"/>
      <w:lang w:val="pt-BR" w:eastAsia="pt-BR"/>
    </w:rPr>
  </w:style>
  <w:style w:type="paragraph" w:styleId="BodyTextIndent2">
    <w:name w:val="Body Text Indent 2"/>
    <w:basedOn w:val="Normal"/>
    <w:qFormat/>
    <w:pPr>
      <w:widowControl/>
      <w:suppressAutoHyphens w:val="true"/>
      <w:bidi w:val="0"/>
      <w:spacing w:lineRule="auto" w:line="480" w:before="0" w:after="120"/>
      <w:ind w:left="283" w:right="0" w:hanging="0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Subttulo">
    <w:name w:val="Subtitle"/>
    <w:basedOn w:val="Normal"/>
    <w:qFormat/>
    <w:pPr>
      <w:widowControl/>
      <w:suppressAutoHyphens w:val="true"/>
      <w:bidi w:val="0"/>
      <w:spacing w:lineRule="auto" w:line="240" w:before="0" w:after="0"/>
      <w:jc w:val="center"/>
    </w:pPr>
    <w:rPr>
      <w:rFonts w:ascii="Arial" w:hAnsi="Arial" w:eastAsia="Liberation Serif"/>
      <w:b/>
      <w:color w:val="000000"/>
      <w:kern w:val="0"/>
      <w:sz w:val="36"/>
      <w:lang w:val="pt-BR" w:eastAsia="pt-BR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Cabealho">
    <w:name w:val="Header"/>
    <w:basedOn w:val="Normal"/>
    <w:pPr>
      <w:widowControl/>
      <w:tabs>
        <w:tab w:val="center" w:pos="4252" w:leader="none"/>
        <w:tab w:val="right" w:pos="8504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Rodap">
    <w:name w:val="Footer"/>
    <w:basedOn w:val="Normal"/>
    <w:pPr>
      <w:widowControl/>
      <w:tabs>
        <w:tab w:val="center" w:pos="4252" w:leader="none"/>
        <w:tab w:val="right" w:pos="8504" w:leader="none"/>
      </w:tabs>
      <w:suppressAutoHyphens w:val="true"/>
      <w:bidi w:val="0"/>
      <w:spacing w:lineRule="auto" w:line="240" w:before="0" w:after="0"/>
      <w:jc w:val="left"/>
    </w:pPr>
    <w:rPr>
      <w:rFonts w:ascii="Calibri" w:hAnsi="Calibri" w:eastAsia="Liberation Serif"/>
      <w:color w:val="000000"/>
      <w:kern w:val="0"/>
      <w:sz w:val="22"/>
      <w:lang w:val="pt-BR" w:eastAsia="pt-BR"/>
    </w:rPr>
  </w:style>
  <w:style w:type="paragraph" w:styleId="Contedodatabela">
    <w:name w:val="Conteúdo da tabela"/>
    <w:basedOn w:val="Normal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/>
      <w:color w:val="000000"/>
      <w:kern w:val="2"/>
      <w:sz w:val="24"/>
      <w:lang w:val="pt-BR" w:eastAsia="pt-BR"/>
    </w:rPr>
  </w:style>
  <w:style w:type="paragraph" w:styleId="Yiv1313898636m2291930231269941166gmailmsolistparagraph">
    <w:name w:val="yiv1313898636m_2291930231269941166gmail-msolistparagraph"/>
    <w:basedOn w:val="Normal"/>
    <w:qFormat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Paragraph">
    <w:name w:val="paragraph"/>
    <w:basedOn w:val="Normal"/>
    <w:qFormat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iberation Serif" w:cs="Liberation Serif"/>
      <w:color w:val="000000"/>
      <w:kern w:val="0"/>
      <w:sz w:val="22"/>
      <w:szCs w:val="24"/>
      <w:lang w:val="pt-BR" w:eastAsia="hi-IN" w:bidi="hi-IN"/>
    </w:rPr>
  </w:style>
  <w:style w:type="paragraph" w:styleId="Corpodetextorecuado">
    <w:name w:val="Body Text Indent"/>
    <w:basedOn w:val="Normal"/>
    <w:pPr>
      <w:widowControl/>
      <w:suppressAutoHyphens w:val="true"/>
      <w:bidi w:val="0"/>
      <w:spacing w:lineRule="auto" w:line="240" w:before="0" w:after="120"/>
      <w:ind w:left="283" w:right="0" w:hanging="0"/>
      <w:jc w:val="left"/>
    </w:pPr>
    <w:rPr>
      <w:rFonts w:ascii="Times New Roman" w:hAnsi="Times New Roman" w:eastAsia="Liberation Serif"/>
      <w:color w:val="000000"/>
      <w:kern w:val="0"/>
      <w:sz w:val="24"/>
      <w:lang w:val="pt-BR" w:eastAsia="pt-BR"/>
    </w:rPr>
  </w:style>
  <w:style w:type="paragraph" w:styleId="Ttulodetabela">
    <w:name w:val="Título de tabela"/>
    <w:basedOn w:val="Contedodatabela"/>
    <w:qFormat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Liberation Serif" w:hAnsi="Liberation Serif" w:eastAsia="Liberation Serif"/>
      <w:b/>
      <w:color w:val="000000"/>
      <w:kern w:val="2"/>
      <w:sz w:val="24"/>
      <w:lang w:val="pt-BR" w:eastAsia="pt-BR"/>
    </w:rPr>
  </w:style>
  <w:style w:type="paragraph" w:styleId="Contedodoquadro">
    <w:name w:val="Conteúdo do quadro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/>
      <w:color w:val="000000"/>
      <w:kern w:val="0"/>
      <w:sz w:val="22"/>
      <w:lang w:val="pt-BR" w:eastAsia="pt-BR"/>
    </w:rPr>
  </w:style>
  <w:style w:type="paragraph" w:styleId="PargrafodaLista">
    <w:name w:val="Parágrafo da Lista"/>
    <w:basedOn w:val="Normal"/>
    <w:qFormat/>
    <w:pPr>
      <w:widowControl/>
      <w:suppressAutoHyphens w:val="true"/>
      <w:bidi w:val="0"/>
      <w:spacing w:lineRule="auto" w:line="252" w:before="0" w:after="160"/>
      <w:ind w:left="720" w:right="0" w:hanging="0"/>
      <w:contextualSpacing/>
      <w:jc w:val="left"/>
    </w:pPr>
    <w:rPr>
      <w:rFonts w:ascii="Calibri" w:hAnsi="Calibri" w:eastAsia="Liberation Serif"/>
      <w:color w:val="000000"/>
      <w:kern w:val="0"/>
      <w:sz w:val="22"/>
      <w:lang w:val="pt-BR" w:eastAsia="pt-BR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</TotalTime>
  <Application>LibreOffice/5.4.4.2$Windows_x86 LibreOffice_project/2524958677847fb3bb44820e40380acbe820f960</Application>
  <Pages>13</Pages>
  <Words>3885</Words>
  <Characters>23869</Characters>
  <CharactersWithSpaces>27412</CharactersWithSpaces>
  <Paragraphs>368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2015-11-30T12:39:00Z</dcterms:created>
  <dc:creator>DSP100</dc:creator>
  <dc:description/>
  <dc:language>pt-BR</dc:language>
  <cp:lastModifiedBy/>
  <dcterms:modified xsi:type="dcterms:W3CDTF">2019-08-19T16:24:56Z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